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15C6CB12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D40CB8">
        <w:t>SKMMU.0</w:t>
      </w:r>
      <w:r w:rsidRPr="00D40CB8">
        <w:rPr>
          <w:color w:val="000000"/>
        </w:rPr>
        <w:t>86.25.21</w:t>
      </w:r>
      <w:r w:rsidRPr="00D40CB8">
        <w:tab/>
      </w:r>
      <w:bookmarkStart w:id="0" w:name="_GoBack"/>
      <w:bookmarkEnd w:id="0"/>
      <w:r w:rsidRPr="00D40CB8">
        <w:rPr>
          <w:color w:val="000000"/>
        </w:rPr>
        <w:t>Gdynia, 2021-0</w:t>
      </w:r>
      <w:r w:rsidR="005B292C" w:rsidRPr="00D40CB8">
        <w:rPr>
          <w:color w:val="000000"/>
        </w:rPr>
        <w:t>7</w:t>
      </w:r>
      <w:r w:rsidRPr="00D40CB8">
        <w:rPr>
          <w:color w:val="000000"/>
        </w:rPr>
        <w:t>-</w:t>
      </w:r>
      <w:r w:rsidR="005B292C" w:rsidRPr="00D40CB8">
        <w:rPr>
          <w:color w:val="000000"/>
        </w:rPr>
        <w:t>0</w:t>
      </w:r>
      <w:r w:rsidR="00D40CB8" w:rsidRPr="00D40CB8">
        <w:rPr>
          <w:color w:val="000000"/>
        </w:rPr>
        <w:t>6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1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1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FB1678C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3D6F1CE2" w14:textId="0FA7644C" w:rsidR="0086397C" w:rsidRDefault="0086397C" w:rsidP="005F48AC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>Zamawiający modyfikuje pkt. 1</w:t>
      </w:r>
      <w:r w:rsidR="00D433E6">
        <w:rPr>
          <w:lang w:eastAsia="pl-PL"/>
        </w:rPr>
        <w:t>0</w:t>
      </w:r>
      <w:r>
        <w:rPr>
          <w:lang w:eastAsia="pl-PL"/>
        </w:rPr>
        <w:t>.</w:t>
      </w:r>
      <w:r w:rsidR="00D433E6">
        <w:rPr>
          <w:lang w:eastAsia="pl-PL"/>
        </w:rPr>
        <w:t>8</w:t>
      </w:r>
      <w:r>
        <w:rPr>
          <w:lang w:eastAsia="pl-PL"/>
        </w:rPr>
        <w:t>.</w:t>
      </w:r>
      <w:r w:rsidR="00D433E6">
        <w:rPr>
          <w:lang w:eastAsia="pl-PL"/>
        </w:rPr>
        <w:t xml:space="preserve">5 </w:t>
      </w:r>
      <w:r w:rsidR="00D433E6" w:rsidRPr="00700310">
        <w:rPr>
          <w:i/>
          <w:iCs/>
          <w:lang w:eastAsia="pl-PL"/>
        </w:rPr>
        <w:t>Minimalne wymagania techniczne dla kamer wewnętrznych</w:t>
      </w:r>
      <w:r w:rsidR="00D433E6">
        <w:rPr>
          <w:lang w:eastAsia="pl-PL"/>
        </w:rPr>
        <w:t xml:space="preserve"> lit. a</w:t>
      </w:r>
      <w:r>
        <w:rPr>
          <w:lang w:eastAsia="pl-PL"/>
        </w:rPr>
        <w:t xml:space="preserve"> OPZ i nadaje mu treść:</w:t>
      </w:r>
    </w:p>
    <w:p w14:paraId="23BF707B" w14:textId="77777777" w:rsidR="00D433E6" w:rsidRDefault="00D433E6" w:rsidP="005F48AC">
      <w:pPr>
        <w:suppressAutoHyphens w:val="0"/>
        <w:jc w:val="both"/>
        <w:rPr>
          <w:lang w:eastAsia="pl-PL"/>
        </w:rPr>
      </w:pPr>
    </w:p>
    <w:p w14:paraId="36228D85" w14:textId="4B80FECD" w:rsidR="00D433E6" w:rsidRPr="00D2445E" w:rsidRDefault="00D433E6" w:rsidP="005F48AC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  <w:r w:rsidRPr="00D2445E">
        <w:rPr>
          <w:rFonts w:ascii="Times New Roman" w:hAnsi="Times New Roman" w:cs="Times New Roman"/>
          <w:i/>
          <w:iCs/>
        </w:rPr>
        <w:t xml:space="preserve">„a) </w:t>
      </w:r>
      <w:r w:rsidRPr="00D2445E">
        <w:rPr>
          <w:rFonts w:ascii="Times New Roman" w:hAnsi="Times New Roman" w:cs="Times New Roman"/>
          <w:i/>
          <w:iCs/>
          <w:color w:val="auto"/>
        </w:rPr>
        <w:t xml:space="preserve">kamery cyfrowe kolorowe dookolne IP minimum </w:t>
      </w:r>
      <w:r w:rsidRPr="00D2445E">
        <w:rPr>
          <w:rFonts w:ascii="Times New Roman" w:hAnsi="Times New Roman" w:cs="Times New Roman"/>
          <w:i/>
          <w:iCs/>
          <w:color w:val="FF0000"/>
        </w:rPr>
        <w:t>5MPx</w:t>
      </w:r>
      <w:r w:rsidRPr="00D2445E">
        <w:rPr>
          <w:rFonts w:ascii="Times New Roman" w:hAnsi="Times New Roman" w:cs="Times New Roman"/>
          <w:i/>
          <w:iCs/>
          <w:strike/>
          <w:color w:val="FF0000"/>
        </w:rPr>
        <w:t xml:space="preserve"> 6MPx</w:t>
      </w:r>
      <w:r w:rsidRPr="00D2445E">
        <w:rPr>
          <w:rFonts w:ascii="Times New Roman" w:hAnsi="Times New Roman" w:cs="Times New Roman"/>
          <w:i/>
          <w:iCs/>
          <w:color w:val="auto"/>
        </w:rPr>
        <w:t xml:space="preserve">, o rozdzielczości: minimum 1920x1080 </w:t>
      </w:r>
      <w:proofErr w:type="spellStart"/>
      <w:r w:rsidRPr="00D2445E">
        <w:rPr>
          <w:rFonts w:ascii="Times New Roman" w:hAnsi="Times New Roman" w:cs="Times New Roman"/>
          <w:i/>
          <w:iCs/>
          <w:color w:val="auto"/>
        </w:rPr>
        <w:t>px</w:t>
      </w:r>
      <w:proofErr w:type="spellEnd"/>
      <w:r w:rsidRPr="00D2445E">
        <w:rPr>
          <w:rFonts w:ascii="Times New Roman" w:hAnsi="Times New Roman" w:cs="Times New Roman"/>
          <w:i/>
          <w:iCs/>
          <w:color w:val="auto"/>
        </w:rPr>
        <w:t>,”</w:t>
      </w:r>
    </w:p>
    <w:p w14:paraId="13A153FE" w14:textId="669BFA1C" w:rsidR="00D433E6" w:rsidRDefault="00D433E6" w:rsidP="005F48AC">
      <w:pPr>
        <w:suppressAutoHyphens w:val="0"/>
        <w:jc w:val="both"/>
        <w:rPr>
          <w:lang w:eastAsia="pl-PL"/>
        </w:rPr>
      </w:pPr>
    </w:p>
    <w:p w14:paraId="36C3C6EF" w14:textId="0D2A37E4" w:rsidR="005F48AC" w:rsidRDefault="005F48AC" w:rsidP="005F48AC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 xml:space="preserve">Zamawiający modyfikuje pkt. 1.8 lit. e </w:t>
      </w:r>
      <w:proofErr w:type="spellStart"/>
      <w:r>
        <w:rPr>
          <w:lang w:eastAsia="pl-PL"/>
        </w:rPr>
        <w:t>tiret</w:t>
      </w:r>
      <w:proofErr w:type="spellEnd"/>
      <w:r>
        <w:rPr>
          <w:lang w:eastAsia="pl-PL"/>
        </w:rPr>
        <w:t xml:space="preserve"> 1 OPZ i nadaje mu treść:</w:t>
      </w:r>
    </w:p>
    <w:p w14:paraId="565099DA" w14:textId="55E79185" w:rsidR="0086397C" w:rsidRDefault="0086397C" w:rsidP="005F48AC">
      <w:pPr>
        <w:suppressAutoHyphens w:val="0"/>
        <w:jc w:val="both"/>
        <w:rPr>
          <w:lang w:eastAsia="pl-PL"/>
        </w:rPr>
      </w:pPr>
    </w:p>
    <w:p w14:paraId="2FC68245" w14:textId="6D0F9A03" w:rsidR="005B0058" w:rsidRDefault="005F48AC" w:rsidP="005F48AC">
      <w:pPr>
        <w:suppressAutoHyphens w:val="0"/>
        <w:jc w:val="both"/>
        <w:rPr>
          <w:i/>
          <w:iCs/>
        </w:rPr>
      </w:pPr>
      <w:r w:rsidRPr="005F48AC">
        <w:rPr>
          <w:i/>
          <w:iCs/>
        </w:rPr>
        <w:t xml:space="preserve">„(…)Musi istnieć możliwość zakupu wszystkich wskazanych elementów przez okres </w:t>
      </w:r>
      <w:r w:rsidRPr="005F48AC">
        <w:rPr>
          <w:i/>
          <w:iCs/>
          <w:color w:val="FF0000"/>
        </w:rPr>
        <w:t>minimum do</w:t>
      </w:r>
      <w:r w:rsidRPr="00A57F77">
        <w:rPr>
          <w:i/>
          <w:iCs/>
          <w:strike/>
          <w:color w:val="FF0000"/>
        </w:rPr>
        <w:t xml:space="preserve"> </w:t>
      </w:r>
      <w:r w:rsidRPr="005F48AC">
        <w:rPr>
          <w:i/>
          <w:iCs/>
          <w:strike/>
          <w:color w:val="FF0000"/>
        </w:rPr>
        <w:t>od</w:t>
      </w:r>
      <w:r w:rsidRPr="00A57F77">
        <w:rPr>
          <w:i/>
          <w:iCs/>
        </w:rPr>
        <w:t xml:space="preserve"> czwartego poziomu utrzymania P4</w:t>
      </w:r>
      <w:r w:rsidR="00A57F77">
        <w:rPr>
          <w:i/>
          <w:iCs/>
          <w:color w:val="FF0000"/>
        </w:rPr>
        <w:t xml:space="preserve"> włącznie</w:t>
      </w:r>
      <w:r w:rsidRPr="00A57F77">
        <w:rPr>
          <w:i/>
          <w:iCs/>
        </w:rPr>
        <w:t xml:space="preserve"> </w:t>
      </w:r>
      <w:r w:rsidRPr="005F48AC">
        <w:rPr>
          <w:i/>
          <w:iCs/>
        </w:rPr>
        <w:t>ostatniego z</w:t>
      </w:r>
      <w:r w:rsidR="00A57F77">
        <w:rPr>
          <w:i/>
          <w:iCs/>
        </w:rPr>
        <w:t xml:space="preserve"> </w:t>
      </w:r>
      <w:r w:rsidRPr="005F48AC">
        <w:rPr>
          <w:i/>
          <w:iCs/>
        </w:rPr>
        <w:t>dostarczonych Pojazdów,”</w:t>
      </w:r>
    </w:p>
    <w:p w14:paraId="0A944E98" w14:textId="7697C71A" w:rsidR="007D6392" w:rsidRDefault="007D6392" w:rsidP="005F48AC">
      <w:pPr>
        <w:suppressAutoHyphens w:val="0"/>
        <w:jc w:val="both"/>
        <w:rPr>
          <w:i/>
          <w:iCs/>
        </w:rPr>
      </w:pPr>
    </w:p>
    <w:p w14:paraId="37BE1EE4" w14:textId="63BEC068" w:rsidR="007D6392" w:rsidRPr="007D6392" w:rsidRDefault="007D6392" w:rsidP="007D6392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 w:rsidRPr="007D6392">
        <w:rPr>
          <w:lang w:eastAsia="pl-PL"/>
        </w:rPr>
        <w:t>Zamawiający usuwa treść pkt. 1.17. lit. a OPZ w całości, lecz numeracja w dalszej części pkt. 1.17 pozostaje niezmieniona.</w:t>
      </w:r>
    </w:p>
    <w:p w14:paraId="3A2D17E6" w14:textId="6EFA995C" w:rsidR="002323A4" w:rsidRDefault="002323A4" w:rsidP="005F48AC">
      <w:pPr>
        <w:suppressAutoHyphens w:val="0"/>
        <w:jc w:val="both"/>
        <w:rPr>
          <w:i/>
          <w:iCs/>
        </w:rPr>
      </w:pPr>
    </w:p>
    <w:p w14:paraId="33291B22" w14:textId="0EF253EB" w:rsidR="002323A4" w:rsidRDefault="002323A4" w:rsidP="002323A4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>Zamawiający modyfikuje pkt. 1.19 lit. e OPZ i nadaje mu treść:</w:t>
      </w:r>
    </w:p>
    <w:p w14:paraId="1EDA5137" w14:textId="386A68F2" w:rsidR="002323A4" w:rsidRDefault="002323A4" w:rsidP="005F48AC">
      <w:pPr>
        <w:suppressAutoHyphens w:val="0"/>
        <w:jc w:val="both"/>
        <w:rPr>
          <w:i/>
          <w:iCs/>
        </w:rPr>
      </w:pPr>
    </w:p>
    <w:p w14:paraId="29BE994A" w14:textId="77777777" w:rsidR="002323A4" w:rsidRPr="002323A4" w:rsidRDefault="002323A4" w:rsidP="002323A4">
      <w:pPr>
        <w:jc w:val="both"/>
        <w:rPr>
          <w:bCs/>
          <w:i/>
          <w:iCs/>
        </w:rPr>
      </w:pPr>
      <w:r w:rsidRPr="002323A4">
        <w:rPr>
          <w:bCs/>
          <w:i/>
          <w:iCs/>
        </w:rPr>
        <w:t xml:space="preserve">„kabel do ładowania baterii akumulatorów (20m), </w:t>
      </w:r>
      <w:r w:rsidRPr="002323A4">
        <w:rPr>
          <w:bCs/>
          <w:i/>
          <w:iCs/>
          <w:color w:val="FF0000"/>
        </w:rPr>
        <w:t>wtyk od strony przyłączenia do zasilania peronowego umożliwiający przyłączenie do gniazd wykorzystywanych przez Zamawiającego (parametry gniazd: 63A/400V 5P IP67 6h 3P+N+Z), miejsce przechowywania kabla uzgodnić z Zamawiającym na etapie akceptacji projektu</w:t>
      </w:r>
      <w:r w:rsidRPr="002323A4">
        <w:rPr>
          <w:bCs/>
          <w:i/>
          <w:iCs/>
          <w:strike/>
          <w:color w:val="FF0000"/>
        </w:rPr>
        <w:t xml:space="preserve"> zwijany automatycznie na specjalnym bębnie zabudowanym w specjalnej skrzynce pod pudłem pojazdu</w:t>
      </w:r>
      <w:r w:rsidRPr="002323A4">
        <w:rPr>
          <w:bCs/>
          <w:i/>
          <w:iCs/>
        </w:rPr>
        <w:t xml:space="preserve"> – 1 szt.”</w:t>
      </w:r>
    </w:p>
    <w:p w14:paraId="6548EE11" w14:textId="39E2006E" w:rsidR="002323A4" w:rsidRDefault="002323A4" w:rsidP="005F48AC">
      <w:pPr>
        <w:suppressAutoHyphens w:val="0"/>
        <w:jc w:val="both"/>
        <w:rPr>
          <w:i/>
          <w:iCs/>
        </w:rPr>
      </w:pPr>
    </w:p>
    <w:p w14:paraId="12305D84" w14:textId="5018AD82" w:rsidR="002323A4" w:rsidRDefault="002323A4" w:rsidP="002323A4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>Zamawiający modyfikuje pkt. 1.20 lit. e OPZ i nadaje mu treść:</w:t>
      </w:r>
    </w:p>
    <w:p w14:paraId="2E375846" w14:textId="1C4246E1" w:rsidR="002323A4" w:rsidRDefault="002323A4" w:rsidP="005F48AC">
      <w:pPr>
        <w:suppressAutoHyphens w:val="0"/>
        <w:jc w:val="both"/>
        <w:rPr>
          <w:i/>
          <w:iCs/>
        </w:rPr>
      </w:pPr>
    </w:p>
    <w:p w14:paraId="724B3F69" w14:textId="77777777" w:rsidR="002323A4" w:rsidRPr="002323A4" w:rsidRDefault="002323A4" w:rsidP="002323A4">
      <w:pPr>
        <w:jc w:val="both"/>
        <w:rPr>
          <w:bCs/>
          <w:i/>
          <w:iCs/>
        </w:rPr>
      </w:pPr>
      <w:r w:rsidRPr="002323A4">
        <w:rPr>
          <w:bCs/>
          <w:i/>
          <w:iCs/>
        </w:rPr>
        <w:t xml:space="preserve">„kabel do ładowania baterii akumulatorów (20m), </w:t>
      </w:r>
      <w:r w:rsidRPr="002323A4">
        <w:rPr>
          <w:bCs/>
          <w:i/>
          <w:iCs/>
          <w:color w:val="FF0000"/>
        </w:rPr>
        <w:t>wtyk od strony przyłączenia do zasilania peronowego umożliwiający przyłączenie do gniazd wykorzystywanych przez Zamawiającego (parametry gniazd: 63A/400V 5P IP67 6h 3P+N+Z), miejsce przechowywania kabla uzgodnić z Zamawiającym na etapie akceptacji projektu</w:t>
      </w:r>
      <w:r w:rsidRPr="002323A4">
        <w:rPr>
          <w:bCs/>
          <w:i/>
          <w:iCs/>
          <w:strike/>
          <w:color w:val="FF0000"/>
        </w:rPr>
        <w:t xml:space="preserve"> zwijany automatycznie na specjalnym bębnie zabudowanym w specjalnej skrzynce pod pudłem pojazdu</w:t>
      </w:r>
      <w:r w:rsidRPr="002323A4">
        <w:rPr>
          <w:bCs/>
          <w:i/>
          <w:iCs/>
        </w:rPr>
        <w:t xml:space="preserve"> – 1 szt.”</w:t>
      </w:r>
    </w:p>
    <w:p w14:paraId="35A5EA39" w14:textId="3917674C" w:rsidR="002323A4" w:rsidRDefault="002323A4" w:rsidP="005F48AC">
      <w:pPr>
        <w:suppressAutoHyphens w:val="0"/>
        <w:jc w:val="both"/>
        <w:rPr>
          <w:i/>
          <w:iCs/>
        </w:rPr>
      </w:pPr>
    </w:p>
    <w:p w14:paraId="7B442E72" w14:textId="2982D9BC" w:rsidR="00710024" w:rsidRDefault="00710024" w:rsidP="0053115E">
      <w:pPr>
        <w:pStyle w:val="Akapitzlist"/>
        <w:keepNext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lastRenderedPageBreak/>
        <w:t>Zamawiający modyfikuje pkt. 6.4 OPZ i nadaje mu treść:</w:t>
      </w:r>
    </w:p>
    <w:p w14:paraId="51E2993D" w14:textId="7D1D8FB3" w:rsidR="002323A4" w:rsidRDefault="002323A4" w:rsidP="0053115E">
      <w:pPr>
        <w:keepNext/>
        <w:suppressAutoHyphens w:val="0"/>
        <w:jc w:val="both"/>
        <w:rPr>
          <w:i/>
          <w:iCs/>
        </w:rPr>
      </w:pPr>
    </w:p>
    <w:p w14:paraId="72475B50" w14:textId="24FB05AD" w:rsidR="005B0058" w:rsidRDefault="00710024" w:rsidP="00710024">
      <w:pPr>
        <w:suppressAutoHyphens w:val="0"/>
        <w:jc w:val="both"/>
        <w:rPr>
          <w:i/>
          <w:iCs/>
        </w:rPr>
      </w:pPr>
      <w:r w:rsidRPr="00710024">
        <w:rPr>
          <w:rFonts w:cstheme="minorHAnsi"/>
          <w:i/>
          <w:iCs/>
        </w:rPr>
        <w:t xml:space="preserve">„(…) </w:t>
      </w:r>
      <w:r w:rsidRPr="00710024">
        <w:rPr>
          <w:i/>
          <w:iCs/>
        </w:rPr>
        <w:t>Umożliwić zasilanie sprężarki z zasilania peronowego</w:t>
      </w:r>
      <w:r w:rsidRPr="00710024">
        <w:rPr>
          <w:i/>
          <w:iCs/>
          <w:color w:val="FF0000"/>
        </w:rPr>
        <w:t xml:space="preserve"> wykorzystywanego przez Zamawiającego (parametry gniazd: 63A/400V 5P IP67 6h 3P+N+Z)</w:t>
      </w:r>
      <w:r w:rsidRPr="00710024">
        <w:rPr>
          <w:i/>
          <w:iCs/>
        </w:rPr>
        <w:t xml:space="preserve"> w celu jej testowania bez potrzeby zasilania pojazdu napięciem 3kV DC. (…)”</w:t>
      </w:r>
    </w:p>
    <w:p w14:paraId="4D1572D2" w14:textId="77777777" w:rsidR="00710024" w:rsidRDefault="00710024" w:rsidP="00710024">
      <w:pPr>
        <w:suppressAutoHyphens w:val="0"/>
        <w:jc w:val="both"/>
        <w:rPr>
          <w:lang w:eastAsia="pl-PL"/>
        </w:rPr>
      </w:pPr>
    </w:p>
    <w:p w14:paraId="3EF0ADE1" w14:textId="710704E4" w:rsidR="00E5728F" w:rsidRDefault="00E5728F" w:rsidP="00E5728F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>Zamawiający modyfikuje pkt. 6.4 OPZ i nadaje mu treść:</w:t>
      </w:r>
    </w:p>
    <w:p w14:paraId="74AC6CEE" w14:textId="15DBEE62" w:rsidR="005B0058" w:rsidRDefault="005B0058" w:rsidP="0086397C">
      <w:pPr>
        <w:suppressAutoHyphens w:val="0"/>
        <w:rPr>
          <w:lang w:eastAsia="pl-PL"/>
        </w:rPr>
      </w:pPr>
    </w:p>
    <w:p w14:paraId="3154EC43" w14:textId="36F28220" w:rsidR="005B0058" w:rsidRPr="00E5728F" w:rsidRDefault="00E5728F" w:rsidP="00E5728F">
      <w:pPr>
        <w:suppressAutoHyphens w:val="0"/>
        <w:jc w:val="both"/>
        <w:rPr>
          <w:lang w:eastAsia="pl-PL"/>
        </w:rPr>
      </w:pPr>
      <w:r w:rsidRPr="00E5728F">
        <w:rPr>
          <w:rFonts w:cs="Calibri"/>
          <w:i/>
          <w:iCs/>
        </w:rPr>
        <w:t>„(…)</w:t>
      </w:r>
      <w:r>
        <w:rPr>
          <w:rFonts w:cs="Calibri"/>
          <w:i/>
          <w:iCs/>
        </w:rPr>
        <w:t xml:space="preserve"> </w:t>
      </w:r>
      <w:r w:rsidRPr="00E5728F">
        <w:rPr>
          <w:i/>
          <w:iCs/>
        </w:rPr>
        <w:t xml:space="preserve">hamulec powinien wykorzystywać funkcję </w:t>
      </w:r>
      <w:proofErr w:type="spellStart"/>
      <w:r w:rsidRPr="00E5728F">
        <w:rPr>
          <w:i/>
          <w:iCs/>
        </w:rPr>
        <w:t>blendingu</w:t>
      </w:r>
      <w:proofErr w:type="spellEnd"/>
      <w:r w:rsidRPr="00E5728F">
        <w:rPr>
          <w:i/>
          <w:iCs/>
          <w:color w:val="FF0000"/>
        </w:rPr>
        <w:t xml:space="preserve"> tzn. współpracy hamulca elektrodynamicznego ED z hamulcem elektropneumatycznym EP polegając</w:t>
      </w:r>
      <w:r w:rsidR="00694DF3">
        <w:rPr>
          <w:i/>
          <w:iCs/>
          <w:color w:val="FF0000"/>
        </w:rPr>
        <w:t>ą</w:t>
      </w:r>
      <w:r w:rsidRPr="00E5728F">
        <w:rPr>
          <w:i/>
          <w:iCs/>
          <w:color w:val="FF0000"/>
        </w:rPr>
        <w:t xml:space="preserve"> na automatycznym załączeniu hamulca EP wspomagającego hamulec ED, w</w:t>
      </w:r>
      <w:r w:rsidR="009C543C">
        <w:rPr>
          <w:i/>
          <w:iCs/>
          <w:color w:val="FF0000"/>
        </w:rPr>
        <w:t xml:space="preserve"> </w:t>
      </w:r>
      <w:r w:rsidRPr="00E5728F">
        <w:rPr>
          <w:i/>
          <w:iCs/>
          <w:color w:val="FF0000"/>
        </w:rPr>
        <w:t>momencie gdy siła hamowania hamulcem ED jest zbyt mała dla zadanego przez maszynistę opóźnienia hamowania</w:t>
      </w:r>
      <w:r w:rsidRPr="00E5728F">
        <w:rPr>
          <w:i/>
          <w:iCs/>
        </w:rPr>
        <w:t>, (…)”</w:t>
      </w:r>
    </w:p>
    <w:p w14:paraId="560CA596" w14:textId="3E394CE6" w:rsidR="005B0058" w:rsidRDefault="005B0058" w:rsidP="0086397C">
      <w:pPr>
        <w:suppressAutoHyphens w:val="0"/>
        <w:rPr>
          <w:lang w:eastAsia="pl-PL"/>
        </w:rPr>
      </w:pPr>
    </w:p>
    <w:p w14:paraId="0442365D" w14:textId="224518EB" w:rsidR="002A3A9E" w:rsidRDefault="002A3A9E" w:rsidP="002A3A9E">
      <w:pPr>
        <w:pStyle w:val="Akapitzlist"/>
        <w:numPr>
          <w:ilvl w:val="0"/>
          <w:numId w:val="2"/>
        </w:numPr>
        <w:suppressAutoHyphens w:val="0"/>
        <w:jc w:val="both"/>
        <w:rPr>
          <w:lang w:eastAsia="pl-PL"/>
        </w:rPr>
      </w:pPr>
      <w:r>
        <w:rPr>
          <w:lang w:eastAsia="pl-PL"/>
        </w:rPr>
        <w:t xml:space="preserve">Zamawiający modyfikuje pkt. 7.1.6.1 </w:t>
      </w:r>
      <w:proofErr w:type="spellStart"/>
      <w:r>
        <w:rPr>
          <w:lang w:eastAsia="pl-PL"/>
        </w:rPr>
        <w:t>tiret</w:t>
      </w:r>
      <w:proofErr w:type="spellEnd"/>
      <w:r>
        <w:rPr>
          <w:lang w:eastAsia="pl-PL"/>
        </w:rPr>
        <w:t xml:space="preserve"> 9 OPZ i nadaje mu treść:</w:t>
      </w:r>
    </w:p>
    <w:p w14:paraId="3747F27D" w14:textId="5E2E8491" w:rsidR="005B0058" w:rsidRDefault="005B0058" w:rsidP="0086397C">
      <w:pPr>
        <w:suppressAutoHyphens w:val="0"/>
        <w:rPr>
          <w:lang w:eastAsia="pl-PL"/>
        </w:rPr>
      </w:pPr>
    </w:p>
    <w:p w14:paraId="39A0A2BE" w14:textId="0756FF8B" w:rsidR="005B0058" w:rsidRPr="002A3A9E" w:rsidRDefault="002A3A9E" w:rsidP="002A3A9E">
      <w:pPr>
        <w:suppressAutoHyphens w:val="0"/>
        <w:jc w:val="both"/>
        <w:rPr>
          <w:lang w:eastAsia="pl-PL"/>
        </w:rPr>
      </w:pPr>
      <w:r w:rsidRPr="002A3A9E">
        <w:rPr>
          <w:rFonts w:cs="Calibri"/>
          <w:i/>
          <w:iCs/>
        </w:rPr>
        <w:t xml:space="preserve">„- komfort wibracji zgodnie z PN-EN </w:t>
      </w:r>
      <w:bookmarkStart w:id="2" w:name="_Hlk62807548"/>
      <w:r w:rsidRPr="002A3A9E">
        <w:rPr>
          <w:rFonts w:cs="Calibri"/>
          <w:i/>
          <w:iCs/>
        </w:rPr>
        <w:t>12299:2009</w:t>
      </w:r>
      <w:bookmarkEnd w:id="2"/>
      <w:r w:rsidRPr="002A3A9E">
        <w:rPr>
          <w:rFonts w:cs="Calibri"/>
          <w:i/>
          <w:iCs/>
        </w:rPr>
        <w:t xml:space="preserve"> lub równoważne</w:t>
      </w:r>
      <w:r w:rsidRPr="002A3A9E">
        <w:rPr>
          <w:rFonts w:cs="Calibri"/>
          <w:i/>
          <w:iCs/>
          <w:color w:val="FF0000"/>
        </w:rPr>
        <w:t xml:space="preserve">, wymagane jest zapewnienie poziomu komfortu </w:t>
      </w:r>
      <w:r>
        <w:rPr>
          <w:rFonts w:cs="Calibri"/>
          <w:i/>
          <w:iCs/>
          <w:color w:val="FF0000"/>
        </w:rPr>
        <w:t>z przedziału</w:t>
      </w:r>
      <w:r w:rsidRPr="002A3A9E">
        <w:rPr>
          <w:rFonts w:cs="Calibri"/>
          <w:i/>
          <w:iCs/>
          <w:color w:val="FF0000"/>
        </w:rPr>
        <w:t xml:space="preserve"> „komfortowy”</w:t>
      </w:r>
      <w:r>
        <w:rPr>
          <w:rFonts w:cs="Calibri"/>
          <w:i/>
          <w:iCs/>
          <w:color w:val="FF0000"/>
        </w:rPr>
        <w:t xml:space="preserve"> lub „bardzo komfortowy”</w:t>
      </w:r>
      <w:r w:rsidRPr="002A3A9E">
        <w:rPr>
          <w:rFonts w:cs="Calibri"/>
          <w:i/>
          <w:iCs/>
          <w:color w:val="FF0000"/>
        </w:rPr>
        <w:t xml:space="preserve"> (parametr N</w:t>
      </w:r>
      <w:r w:rsidRPr="002A3A9E">
        <w:rPr>
          <w:rFonts w:cs="Calibri"/>
          <w:i/>
          <w:iCs/>
          <w:color w:val="FF0000"/>
          <w:vertAlign w:val="subscript"/>
        </w:rPr>
        <w:t>MV</w:t>
      </w:r>
      <w:r w:rsidRPr="002A3A9E">
        <w:rPr>
          <w:rFonts w:cs="Calibri"/>
          <w:i/>
          <w:iCs/>
          <w:color w:val="FF0000"/>
        </w:rPr>
        <w:t xml:space="preserve"> poniżej wartości 2,5)</w:t>
      </w:r>
      <w:r w:rsidRPr="002A3A9E">
        <w:rPr>
          <w:rFonts w:cs="Calibri"/>
          <w:i/>
          <w:iCs/>
        </w:rPr>
        <w:t>,”</w:t>
      </w:r>
    </w:p>
    <w:p w14:paraId="4C69F63F" w14:textId="1818AD26" w:rsidR="005B0058" w:rsidRDefault="005B0058" w:rsidP="0086397C">
      <w:pPr>
        <w:suppressAutoHyphens w:val="0"/>
        <w:rPr>
          <w:lang w:eastAsia="pl-PL"/>
        </w:rPr>
      </w:pPr>
    </w:p>
    <w:p w14:paraId="05B7519E" w14:textId="77777777" w:rsidR="005B0058" w:rsidRPr="00D239E2" w:rsidRDefault="005B0058" w:rsidP="0086397C">
      <w:pPr>
        <w:suppressAutoHyphens w:val="0"/>
        <w:rPr>
          <w:lang w:eastAsia="pl-PL"/>
        </w:rPr>
      </w:pPr>
    </w:p>
    <w:p w14:paraId="6626E316" w14:textId="5D4A6564" w:rsidR="00D239E2" w:rsidRPr="00D40CB8" w:rsidRDefault="00286F36" w:rsidP="00286F36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r w:rsidRPr="00D40CB8">
        <w:rPr>
          <w:b w:val="0"/>
        </w:rPr>
        <w:t xml:space="preserve">Zamawiający przedstawia w załączeniu modyfikację OPZ oraz </w:t>
      </w:r>
      <w:r w:rsidR="005B292C" w:rsidRPr="00D40CB8">
        <w:rPr>
          <w:b w:val="0"/>
        </w:rPr>
        <w:t>SWZ</w:t>
      </w:r>
      <w:r w:rsidRPr="00D40CB8">
        <w:rPr>
          <w:b w:val="0"/>
        </w:rPr>
        <w:t>.</w:t>
      </w:r>
    </w:p>
    <w:sectPr w:rsidR="00D239E2" w:rsidRPr="00D40C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9A3CF" w14:textId="77777777" w:rsidR="00E37A49" w:rsidRDefault="00E37A49" w:rsidP="00516F39">
      <w:r>
        <w:separator/>
      </w:r>
    </w:p>
  </w:endnote>
  <w:endnote w:type="continuationSeparator" w:id="0">
    <w:p w14:paraId="4AFD9AF2" w14:textId="77777777" w:rsidR="00E37A49" w:rsidRDefault="00E37A49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743ED" w14:textId="77777777" w:rsidR="00E37A49" w:rsidRDefault="00E37A49" w:rsidP="00516F39">
      <w:r>
        <w:separator/>
      </w:r>
    </w:p>
  </w:footnote>
  <w:footnote w:type="continuationSeparator" w:id="0">
    <w:p w14:paraId="2FC915FC" w14:textId="77777777" w:rsidR="00E37A49" w:rsidRDefault="00E37A49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0B101" w14:textId="7A3A0D05" w:rsidR="00516F39" w:rsidRDefault="00516F39">
    <w:pPr>
      <w:pStyle w:val="Nagwek"/>
    </w:pPr>
    <w:r>
      <w:rPr>
        <w:noProof/>
        <w:lang w:eastAsia="pl-PL"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B6E17"/>
    <w:multiLevelType w:val="hybridMultilevel"/>
    <w:tmpl w:val="D9AE912C"/>
    <w:lvl w:ilvl="0" w:tplc="AE38490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C90E9E80"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BED928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 w:tplc="68C6FD04">
      <w:start w:val="1"/>
      <w:numFmt w:val="decimal"/>
      <w:lvlText w:val="%5)"/>
      <w:lvlJc w:val="left"/>
      <w:pPr>
        <w:ind w:left="659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0C3E"/>
    <w:multiLevelType w:val="hybridMultilevel"/>
    <w:tmpl w:val="D056FC62"/>
    <w:lvl w:ilvl="0" w:tplc="2674A3B6">
      <w:start w:val="13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B3121"/>
    <w:multiLevelType w:val="hybridMultilevel"/>
    <w:tmpl w:val="23EC6B2C"/>
    <w:lvl w:ilvl="0" w:tplc="E98C47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540CF"/>
    <w:multiLevelType w:val="hybridMultilevel"/>
    <w:tmpl w:val="C2304A08"/>
    <w:lvl w:ilvl="0" w:tplc="3310379C">
      <w:start w:val="1"/>
      <w:numFmt w:val="lowerLetter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3621C"/>
    <w:multiLevelType w:val="hybridMultilevel"/>
    <w:tmpl w:val="85FE03E6"/>
    <w:lvl w:ilvl="0" w:tplc="009E10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607CA1"/>
    <w:multiLevelType w:val="hybridMultilevel"/>
    <w:tmpl w:val="2BA24E64"/>
    <w:lvl w:ilvl="0" w:tplc="5378B03E">
      <w:start w:val="1"/>
      <w:numFmt w:val="ordin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38"/>
    <w:rsid w:val="000535D6"/>
    <w:rsid w:val="00197B95"/>
    <w:rsid w:val="001B7DC7"/>
    <w:rsid w:val="002026E3"/>
    <w:rsid w:val="002323A4"/>
    <w:rsid w:val="00286F36"/>
    <w:rsid w:val="002A3A9E"/>
    <w:rsid w:val="002D2DDB"/>
    <w:rsid w:val="003162B4"/>
    <w:rsid w:val="005073A4"/>
    <w:rsid w:val="00516F39"/>
    <w:rsid w:val="0053115E"/>
    <w:rsid w:val="005916EE"/>
    <w:rsid w:val="005B0058"/>
    <w:rsid w:val="005B292C"/>
    <w:rsid w:val="005F48AC"/>
    <w:rsid w:val="00645A41"/>
    <w:rsid w:val="00694DF3"/>
    <w:rsid w:val="006C697C"/>
    <w:rsid w:val="00700310"/>
    <w:rsid w:val="00710024"/>
    <w:rsid w:val="00755252"/>
    <w:rsid w:val="00757F6E"/>
    <w:rsid w:val="007A20D2"/>
    <w:rsid w:val="007D6392"/>
    <w:rsid w:val="00804FDE"/>
    <w:rsid w:val="0086397C"/>
    <w:rsid w:val="008C4DE7"/>
    <w:rsid w:val="008D64E1"/>
    <w:rsid w:val="009179E7"/>
    <w:rsid w:val="009C543C"/>
    <w:rsid w:val="00A57F77"/>
    <w:rsid w:val="00A9115C"/>
    <w:rsid w:val="00AF0138"/>
    <w:rsid w:val="00AF1392"/>
    <w:rsid w:val="00B64571"/>
    <w:rsid w:val="00BD01A9"/>
    <w:rsid w:val="00BE38AD"/>
    <w:rsid w:val="00C77BE0"/>
    <w:rsid w:val="00D239E2"/>
    <w:rsid w:val="00D2445E"/>
    <w:rsid w:val="00D40CB8"/>
    <w:rsid w:val="00D433E6"/>
    <w:rsid w:val="00D85241"/>
    <w:rsid w:val="00E37A49"/>
    <w:rsid w:val="00E5728F"/>
    <w:rsid w:val="00FB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9E2"/>
    <w:pPr>
      <w:ind w:left="720"/>
      <w:contextualSpacing/>
    </w:pPr>
  </w:style>
  <w:style w:type="character" w:customStyle="1" w:styleId="jmak2Znak">
    <w:name w:val="jm.ak.2 Znak"/>
    <w:link w:val="jmak2"/>
    <w:locked/>
    <w:rsid w:val="0086397C"/>
    <w:rPr>
      <w:rFonts w:ascii="Times New Roman" w:eastAsia="Times New Roman" w:hAnsi="Times New Roman"/>
    </w:rPr>
  </w:style>
  <w:style w:type="paragraph" w:customStyle="1" w:styleId="jmak2">
    <w:name w:val="jm.ak.2"/>
    <w:basedOn w:val="Normalny"/>
    <w:link w:val="jmak2Znak"/>
    <w:qFormat/>
    <w:rsid w:val="0086397C"/>
    <w:pPr>
      <w:tabs>
        <w:tab w:val="left" w:leader="dot" w:pos="4111"/>
      </w:tabs>
      <w:suppressAutoHyphens w:val="0"/>
      <w:spacing w:before="120" w:after="120"/>
      <w:ind w:left="4111" w:hanging="4111"/>
    </w:pPr>
    <w:rPr>
      <w:rFonts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8639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39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39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9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9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9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E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Katarzyna Komakowska-Helińska</cp:lastModifiedBy>
  <cp:revision>31</cp:revision>
  <dcterms:created xsi:type="dcterms:W3CDTF">2021-06-25T05:43:00Z</dcterms:created>
  <dcterms:modified xsi:type="dcterms:W3CDTF">2021-07-06T09:21:00Z</dcterms:modified>
</cp:coreProperties>
</file>