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6EFEB" w14:textId="7D459956" w:rsidR="008A49A9" w:rsidRDefault="00D12F27" w:rsidP="0080287B">
      <w:pPr>
        <w:jc w:val="both"/>
        <w:rPr>
          <w:b/>
          <w:sz w:val="18"/>
        </w:rPr>
      </w:pPr>
      <w:r>
        <w:rPr>
          <w:b/>
          <w:sz w:val="18"/>
        </w:rPr>
        <w:t xml:space="preserve">Załącznik nr </w:t>
      </w:r>
      <w:r w:rsidR="00662B50">
        <w:rPr>
          <w:b/>
          <w:sz w:val="18"/>
        </w:rPr>
        <w:t xml:space="preserve"> 3B</w:t>
      </w:r>
      <w:bookmarkStart w:id="0" w:name="_GoBack"/>
      <w:bookmarkEnd w:id="0"/>
      <w:r w:rsidR="00662B50">
        <w:rPr>
          <w:b/>
          <w:sz w:val="18"/>
        </w:rPr>
        <w:t xml:space="preserve"> do załącznika nr 1</w:t>
      </w:r>
      <w:r>
        <w:rPr>
          <w:b/>
          <w:sz w:val="18"/>
        </w:rPr>
        <w:t xml:space="preserve"> do umowy</w:t>
      </w:r>
    </w:p>
    <w:p w14:paraId="3FCB1D8D" w14:textId="77BB154E" w:rsidR="00D12F27" w:rsidRDefault="00D12F27" w:rsidP="0080287B">
      <w:pPr>
        <w:jc w:val="both"/>
        <w:rPr>
          <w:b/>
          <w:sz w:val="18"/>
        </w:rPr>
      </w:pPr>
      <w:proofErr w:type="gramStart"/>
      <w:r>
        <w:rPr>
          <w:b/>
          <w:sz w:val="18"/>
        </w:rPr>
        <w:t>dot</w:t>
      </w:r>
      <w:proofErr w:type="gramEnd"/>
      <w:r>
        <w:rPr>
          <w:b/>
          <w:sz w:val="18"/>
        </w:rPr>
        <w:t>. Zadania nr 3</w:t>
      </w:r>
    </w:p>
    <w:p w14:paraId="7FD3D577" w14:textId="7E0B9DDE" w:rsidR="00ED1229" w:rsidRPr="00160F8F" w:rsidRDefault="00ED1229" w:rsidP="0080287B">
      <w:pPr>
        <w:jc w:val="both"/>
        <w:rPr>
          <w:b/>
          <w:sz w:val="18"/>
        </w:rPr>
      </w:pPr>
      <w:r w:rsidRPr="00F63E41">
        <w:rPr>
          <w:b/>
          <w:sz w:val="18"/>
        </w:rPr>
        <w:t>OPIS PRZEDMIOTU ZAMÓWIENIA</w:t>
      </w:r>
      <w:r>
        <w:rPr>
          <w:b/>
          <w:sz w:val="18"/>
        </w:rPr>
        <w:t xml:space="preserve"> – Część B – rozjazdy </w:t>
      </w:r>
    </w:p>
    <w:p w14:paraId="44CEE52F" w14:textId="77777777" w:rsidR="0080287B" w:rsidRPr="00160F8F" w:rsidRDefault="0080287B" w:rsidP="0080287B">
      <w:pPr>
        <w:jc w:val="both"/>
        <w:rPr>
          <w:sz w:val="18"/>
        </w:rPr>
      </w:pPr>
      <w:r w:rsidRPr="00160F8F">
        <w:rPr>
          <w:sz w:val="18"/>
        </w:rPr>
        <w:t>Wykonanie dokumentacji projektowej i świadczenie usług obsługi projektowej dla zadania inwestycyjnego pn. „Modernizacja peronu SKM na stacji Gdynia Orłowo”</w:t>
      </w:r>
    </w:p>
    <w:p w14:paraId="069EF9DB" w14:textId="2940C148" w:rsidR="0080287B" w:rsidRPr="00160F8F" w:rsidRDefault="0080287B" w:rsidP="00774CCD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Ogólny opis przedmiotu zamówienia: </w:t>
      </w:r>
    </w:p>
    <w:p w14:paraId="1BE3F34B" w14:textId="3BA41DB5" w:rsidR="0080287B" w:rsidRPr="00160F8F" w:rsidRDefault="0080287B" w:rsidP="0080287B">
      <w:pPr>
        <w:pStyle w:val="Akapitzlist"/>
        <w:jc w:val="both"/>
        <w:rPr>
          <w:sz w:val="18"/>
        </w:rPr>
      </w:pPr>
      <w:r w:rsidRPr="00160F8F">
        <w:rPr>
          <w:sz w:val="18"/>
        </w:rPr>
        <w:t>Przedmiotem zamówienia jest wykonanie kompleksowej dokumentacji projektowej oraz realizacja usług projektowych podczas robót budowlanych dla zadania inwestycyjnego pn. „Modernizacja peronu SKM na stacji Gdynia Orłowo”</w:t>
      </w:r>
      <w:r w:rsidR="00E53CFD" w:rsidRPr="00160F8F">
        <w:rPr>
          <w:sz w:val="18"/>
        </w:rPr>
        <w:t xml:space="preserve">- </w:t>
      </w:r>
      <w:r w:rsidR="008D6798" w:rsidRPr="00160F8F">
        <w:rPr>
          <w:sz w:val="18"/>
        </w:rPr>
        <w:t>rozjazdy</w:t>
      </w:r>
      <w:r w:rsidRPr="00160F8F">
        <w:rPr>
          <w:sz w:val="18"/>
        </w:rPr>
        <w:t>.</w:t>
      </w:r>
    </w:p>
    <w:p w14:paraId="12F94895" w14:textId="77777777" w:rsidR="0080287B" w:rsidRPr="00160F8F" w:rsidRDefault="0080287B" w:rsidP="0080287B">
      <w:pPr>
        <w:pStyle w:val="Akapitzlist"/>
        <w:jc w:val="both"/>
        <w:rPr>
          <w:sz w:val="18"/>
        </w:rPr>
      </w:pPr>
    </w:p>
    <w:p w14:paraId="558EF387" w14:textId="77777777" w:rsidR="0080287B" w:rsidRPr="00160F8F" w:rsidRDefault="0080287B" w:rsidP="0080287B">
      <w:pPr>
        <w:pStyle w:val="Akapitzlist"/>
        <w:jc w:val="both"/>
        <w:rPr>
          <w:sz w:val="18"/>
        </w:rPr>
      </w:pPr>
      <w:r w:rsidRPr="00160F8F">
        <w:rPr>
          <w:sz w:val="18"/>
        </w:rPr>
        <w:t>Główne cele zadania to m.</w:t>
      </w:r>
      <w:proofErr w:type="gramStart"/>
      <w:r w:rsidRPr="00160F8F">
        <w:rPr>
          <w:sz w:val="18"/>
        </w:rPr>
        <w:t xml:space="preserve">in. : </w:t>
      </w:r>
      <w:proofErr w:type="gramEnd"/>
    </w:p>
    <w:p w14:paraId="44991712" w14:textId="1BF2E6AE" w:rsidR="0080287B" w:rsidRPr="00160F8F" w:rsidRDefault="0080287B" w:rsidP="0080287B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160F8F">
        <w:rPr>
          <w:sz w:val="18"/>
        </w:rPr>
        <w:t xml:space="preserve">Poprawa stanu technicznego </w:t>
      </w:r>
      <w:r w:rsidR="008D6798" w:rsidRPr="00160F8F">
        <w:rPr>
          <w:sz w:val="18"/>
        </w:rPr>
        <w:t>linii kolejowej nr 250</w:t>
      </w:r>
      <w:r w:rsidRPr="00160F8F">
        <w:rPr>
          <w:sz w:val="18"/>
        </w:rPr>
        <w:t xml:space="preserve"> oraz dostosowanie</w:t>
      </w:r>
      <w:r w:rsidR="008D6798" w:rsidRPr="00160F8F">
        <w:rPr>
          <w:sz w:val="18"/>
        </w:rPr>
        <w:t xml:space="preserve"> jej</w:t>
      </w:r>
      <w:r w:rsidRPr="00160F8F">
        <w:rPr>
          <w:sz w:val="18"/>
        </w:rPr>
        <w:t xml:space="preserve"> do obowiązujących standardów, przepisów i norm w zakresie warunków technicznych infrastruktu</w:t>
      </w:r>
      <w:r w:rsidR="00A05866" w:rsidRPr="00160F8F">
        <w:rPr>
          <w:sz w:val="18"/>
        </w:rPr>
        <w:t xml:space="preserve">ry kolejowej, </w:t>
      </w:r>
    </w:p>
    <w:p w14:paraId="2103055A" w14:textId="77777777" w:rsidR="00774CCD" w:rsidRPr="00160F8F" w:rsidRDefault="00774CCD" w:rsidP="00BA7937">
      <w:pPr>
        <w:pStyle w:val="Akapitzlist"/>
        <w:jc w:val="both"/>
        <w:rPr>
          <w:sz w:val="18"/>
        </w:rPr>
      </w:pPr>
    </w:p>
    <w:p w14:paraId="0F70C41A" w14:textId="34439DA1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>Zadanie to jest elementem Projektu pn. „Budowa zintegrowanego systemu monitorowania bezpieczeństwa oraz zarządzania informacją na linii kolejowej nr 250 wraz z modernizacją budynku Dworca Podmiejskiego w Gdyni Głównej oraz peronów na linii kolejowej nr 250”.</w:t>
      </w:r>
    </w:p>
    <w:p w14:paraId="4A63352D" w14:textId="77777777" w:rsidR="00774CCD" w:rsidRPr="00160F8F" w:rsidRDefault="00774CCD" w:rsidP="00774CCD">
      <w:pPr>
        <w:pStyle w:val="Akapitzlist"/>
        <w:jc w:val="both"/>
        <w:rPr>
          <w:sz w:val="18"/>
        </w:rPr>
      </w:pPr>
      <w:r w:rsidRPr="00160F8F">
        <w:rPr>
          <w:sz w:val="18"/>
        </w:rPr>
        <w:t>Niniejszy Projekt jest współfinansowany ze środków Europejskiego Funduszu Rozwoju Regionalnego w ramach Regionalnego Programu Operacyjnego dla Województwa Pomorskiego na lata 2014 – 2020 oraz ze środków Funduszu Kolejowego.</w:t>
      </w:r>
    </w:p>
    <w:p w14:paraId="667C8DDF" w14:textId="535B8A96" w:rsidR="00BA7937" w:rsidRPr="00160F8F" w:rsidRDefault="00BA7937" w:rsidP="00BA7937">
      <w:pPr>
        <w:pStyle w:val="Akapitzlist"/>
        <w:jc w:val="both"/>
        <w:rPr>
          <w:sz w:val="18"/>
        </w:rPr>
      </w:pPr>
    </w:p>
    <w:p w14:paraId="36FCA074" w14:textId="77777777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>Przedmiot zamówienia podzielony jest na dwa zadania:</w:t>
      </w:r>
    </w:p>
    <w:p w14:paraId="14A44368" w14:textId="77777777" w:rsidR="00BA7937" w:rsidRPr="00160F8F" w:rsidRDefault="00BA7937" w:rsidP="00BA7937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160F8F">
        <w:rPr>
          <w:sz w:val="18"/>
        </w:rPr>
        <w:t>Wykonanie dokumentacji projektowej – modernizacja peronu SKM z układem torowym,</w:t>
      </w:r>
    </w:p>
    <w:p w14:paraId="7CBAA845" w14:textId="77777777" w:rsidR="00BA7937" w:rsidRPr="00160F8F" w:rsidRDefault="00BA7937" w:rsidP="00BA7937">
      <w:pPr>
        <w:pStyle w:val="Akapitzlist"/>
        <w:numPr>
          <w:ilvl w:val="0"/>
          <w:numId w:val="37"/>
        </w:numPr>
        <w:jc w:val="both"/>
        <w:rPr>
          <w:sz w:val="18"/>
        </w:rPr>
      </w:pPr>
      <w:r w:rsidRPr="00160F8F">
        <w:rPr>
          <w:sz w:val="18"/>
        </w:rPr>
        <w:t>Wykonanie dokumentacji projektowej – modernizacja rozjazdów.</w:t>
      </w:r>
    </w:p>
    <w:p w14:paraId="50886459" w14:textId="22545275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Każda z części kończy się wydaniem odrębnego pozwolenia na budowę. </w:t>
      </w:r>
    </w:p>
    <w:p w14:paraId="17EC20F5" w14:textId="77777777" w:rsidR="00BA7937" w:rsidRPr="00160F8F" w:rsidRDefault="00BA7937" w:rsidP="00BA7937">
      <w:pPr>
        <w:pStyle w:val="Akapitzlist"/>
        <w:jc w:val="both"/>
        <w:rPr>
          <w:sz w:val="18"/>
        </w:rPr>
      </w:pPr>
    </w:p>
    <w:p w14:paraId="4C6926DF" w14:textId="77777777" w:rsidR="00A05866" w:rsidRPr="00160F8F" w:rsidRDefault="00A05866" w:rsidP="00A05866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Zakres przedmiotu zamówienia</w:t>
      </w:r>
    </w:p>
    <w:p w14:paraId="79051ACA" w14:textId="77777777" w:rsidR="00A05866" w:rsidRPr="00160F8F" w:rsidRDefault="00A05866" w:rsidP="00A05866">
      <w:pPr>
        <w:pStyle w:val="Akapitzlist"/>
        <w:jc w:val="both"/>
        <w:rPr>
          <w:sz w:val="18"/>
        </w:rPr>
      </w:pPr>
      <w:r w:rsidRPr="00160F8F">
        <w:rPr>
          <w:sz w:val="18"/>
        </w:rPr>
        <w:t>Zamówienie obejmuje w szczególności:</w:t>
      </w:r>
    </w:p>
    <w:p w14:paraId="15892473" w14:textId="77777777" w:rsidR="009A7951" w:rsidRPr="00160F8F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Wykonanie inwentaryzacji stanu istniejącego, w zakresie niezbędnym dla prawidłowego i rzetelnego wykonania dokumentacji projektowej,</w:t>
      </w:r>
    </w:p>
    <w:p w14:paraId="49481F5A" w14:textId="5AF1E7B9" w:rsidR="00A05866" w:rsidRPr="00160F8F" w:rsidRDefault="00A05866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Wykonanie mapy do celów projektowych dla przedmiotowej inwestycji, </w:t>
      </w:r>
    </w:p>
    <w:p w14:paraId="0D537A14" w14:textId="567F0AE2" w:rsidR="00774CCD" w:rsidRPr="00160F8F" w:rsidRDefault="00774CCD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Weryfikacja stanu istniejącego przez Wykonawcę przed przystąpieniem do projektowania</w:t>
      </w:r>
    </w:p>
    <w:p w14:paraId="6EE795C9" w14:textId="1D706B78" w:rsidR="00A05866" w:rsidRPr="00160F8F" w:rsidRDefault="00A05866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Uzyskanie w imieniu Zamawiającego wszystkich wymaganych opinii, uzgodnień, dopuszczeni, warunków, decyzji i pozwoleń</w:t>
      </w:r>
      <w:r w:rsidR="00774CCD" w:rsidRPr="00160F8F">
        <w:rPr>
          <w:sz w:val="18"/>
        </w:rPr>
        <w:t xml:space="preserve">(w tym m.in. od PKP PLK i PKP S.A., </w:t>
      </w:r>
      <w:proofErr w:type="gramStart"/>
      <w:r w:rsidR="00774CCD" w:rsidRPr="00160F8F">
        <w:rPr>
          <w:sz w:val="18"/>
        </w:rPr>
        <w:t>gestorów</w:t>
      </w:r>
      <w:proofErr w:type="gramEnd"/>
      <w:r w:rsidR="00774CCD" w:rsidRPr="00160F8F">
        <w:rPr>
          <w:sz w:val="18"/>
        </w:rPr>
        <w:t xml:space="preserve"> sieci, miasta, itd.)</w:t>
      </w:r>
      <w:r w:rsidRPr="00160F8F">
        <w:rPr>
          <w:sz w:val="18"/>
        </w:rPr>
        <w:t xml:space="preserve">, </w:t>
      </w:r>
    </w:p>
    <w:p w14:paraId="43A99923" w14:textId="77777777" w:rsidR="009A7951" w:rsidRPr="00160F8F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Wykonanie projektu budowlanego, </w:t>
      </w:r>
    </w:p>
    <w:p w14:paraId="5C64B618" w14:textId="77777777" w:rsidR="009A7951" w:rsidRPr="00160F8F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Wykonanie projektu wykonawczego i planu BIOZ, </w:t>
      </w:r>
    </w:p>
    <w:p w14:paraId="77C1467C" w14:textId="77777777" w:rsidR="009A7951" w:rsidRPr="00160F8F" w:rsidRDefault="009A7951" w:rsidP="00A05866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Wykonanie dokumentacji wymaganej Prawem Zamówień Publicznych niezbędnej dla przeprowadzenia postępowania przetargowego dla wyłonienie Wykonawcy robót budowlanych, obejmującej w szczególności:</w:t>
      </w:r>
    </w:p>
    <w:p w14:paraId="4CBA09B1" w14:textId="77777777" w:rsidR="009A7951" w:rsidRPr="00160F8F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160F8F">
        <w:rPr>
          <w:sz w:val="18"/>
        </w:rPr>
        <w:t>Przedmiar robót,</w:t>
      </w:r>
    </w:p>
    <w:p w14:paraId="1812B4E1" w14:textId="77777777" w:rsidR="009A7951" w:rsidRPr="00160F8F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r w:rsidRPr="00160F8F">
        <w:rPr>
          <w:sz w:val="18"/>
        </w:rPr>
        <w:t>Kosztorys inwestorski,</w:t>
      </w:r>
    </w:p>
    <w:p w14:paraId="20B1CC98" w14:textId="77777777" w:rsidR="009A7951" w:rsidRPr="00160F8F" w:rsidRDefault="009A7951" w:rsidP="009A7951">
      <w:pPr>
        <w:pStyle w:val="Akapitzlist"/>
        <w:numPr>
          <w:ilvl w:val="0"/>
          <w:numId w:val="4"/>
        </w:numPr>
        <w:jc w:val="both"/>
        <w:rPr>
          <w:sz w:val="18"/>
        </w:rPr>
      </w:pPr>
      <w:proofErr w:type="spellStart"/>
      <w:r w:rsidRPr="00160F8F">
        <w:rPr>
          <w:sz w:val="18"/>
        </w:rPr>
        <w:t>STWiORB</w:t>
      </w:r>
      <w:proofErr w:type="spellEnd"/>
      <w:r w:rsidR="001D375B" w:rsidRPr="00160F8F">
        <w:rPr>
          <w:sz w:val="18"/>
        </w:rPr>
        <w:t>,</w:t>
      </w:r>
    </w:p>
    <w:p w14:paraId="6002A72D" w14:textId="77777777" w:rsidR="001D375B" w:rsidRPr="00160F8F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Złożenie kompletnego wniosku o pozwolenie na budowę oraz uzyskanie zatwierdzenia dokumentacji i pozwolenia na budowę,</w:t>
      </w:r>
    </w:p>
    <w:p w14:paraId="1E8C0933" w14:textId="27056480" w:rsidR="001D375B" w:rsidRPr="00160F8F" w:rsidRDefault="001D375B" w:rsidP="008D6798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Uzyskanie wszelkich pozostałych decyzji, warunków, opinii, pozwoleń i uzgodnień, które umożliwiają rozpoczęcie i wykonanie robót budowlanych, </w:t>
      </w:r>
    </w:p>
    <w:p w14:paraId="7D49AF35" w14:textId="77777777" w:rsidR="001D375B" w:rsidRPr="00160F8F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Pełnienie nadzoru autorskiego podczas prowadzenia robót budowlanych,</w:t>
      </w:r>
    </w:p>
    <w:p w14:paraId="0ED3819D" w14:textId="77777777" w:rsidR="001D375B" w:rsidRPr="00160F8F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Realizacja czynności projektowych i konsultacyjnych w ramach obsługi poprojektowej podczas przygotowania i prowadzenia robót budowlanych, </w:t>
      </w:r>
    </w:p>
    <w:p w14:paraId="6320132A" w14:textId="7083996B" w:rsidR="001D375B" w:rsidRPr="00160F8F" w:rsidRDefault="001D375B" w:rsidP="001D375B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Udzielenie gwarancji na wykonany przedmiot zamówienia (dotyczy wykonanego opracowania oraz jego zawartości merytorycznej i intelektualnej) na okres wskazany w umowie. </w:t>
      </w:r>
    </w:p>
    <w:p w14:paraId="69541AFE" w14:textId="77777777" w:rsidR="000C6842" w:rsidRPr="00160F8F" w:rsidRDefault="000C6842" w:rsidP="000C6842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Udział Projektanta, podczas postępowania przetargowego na wybór Wykonawcy robót budowlanych – pomoc Zamawiającemu w odpowiedzi na pytania od potencjalnych Wykonawców nt. Projektu budowlanego,   </w:t>
      </w:r>
    </w:p>
    <w:p w14:paraId="5A9C7968" w14:textId="77777777" w:rsidR="000C6842" w:rsidRPr="00160F8F" w:rsidRDefault="000C6842" w:rsidP="000C6842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>Pełnienie nadzoru autorskiego podczas prowadzenia robót budowlanych,</w:t>
      </w:r>
    </w:p>
    <w:p w14:paraId="03A19815" w14:textId="3995E2D6" w:rsidR="000C6842" w:rsidRPr="00160F8F" w:rsidRDefault="003E1BE5" w:rsidP="003E1BE5">
      <w:pPr>
        <w:pStyle w:val="Akapitzlist"/>
        <w:numPr>
          <w:ilvl w:val="0"/>
          <w:numId w:val="3"/>
        </w:numPr>
        <w:jc w:val="both"/>
        <w:rPr>
          <w:sz w:val="18"/>
        </w:rPr>
      </w:pPr>
      <w:r w:rsidRPr="00160F8F">
        <w:rPr>
          <w:sz w:val="18"/>
        </w:rPr>
        <w:t xml:space="preserve">Udzielenie gwarancji na wykonany przedmiot zamówienia (dotyczy wykonanego opracowania oraz jego zawartości merytorycznej i intelektualnej) na okres wskazany w umowie. </w:t>
      </w:r>
    </w:p>
    <w:p w14:paraId="608C15C3" w14:textId="77777777" w:rsidR="00FD716C" w:rsidRPr="00160F8F" w:rsidRDefault="00FD716C" w:rsidP="00FD716C">
      <w:pPr>
        <w:pStyle w:val="Akapitzlist"/>
        <w:ind w:left="1080"/>
        <w:jc w:val="both"/>
        <w:rPr>
          <w:sz w:val="18"/>
        </w:rPr>
      </w:pPr>
    </w:p>
    <w:p w14:paraId="792BBC11" w14:textId="77777777" w:rsidR="00FD716C" w:rsidRPr="00160F8F" w:rsidRDefault="00FD716C" w:rsidP="00FD716C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 xml:space="preserve">Powyższe zadania zostaną wykonane we własnym zakresie i na koszt Wykonawcy. W razie konieczności uzyskania dodatkowych, innych niż wskazane powyżej uzgodnień, decyzji lub dokumentów, Wykonawca zobowiązany jest do ich pozyskania na własny koszt. Zadaniem Wykonawcy jest również spełnienie wymogów wskazanych w warunkach technicznych, uzgodnieniach i decyzjach, własnym staraniem i na własny koszt. </w:t>
      </w:r>
    </w:p>
    <w:p w14:paraId="1DDADD67" w14:textId="77777777" w:rsidR="00FD716C" w:rsidRPr="00160F8F" w:rsidRDefault="00FD716C" w:rsidP="00FD716C">
      <w:pPr>
        <w:pStyle w:val="Akapitzlist"/>
        <w:ind w:left="1080"/>
        <w:jc w:val="both"/>
        <w:rPr>
          <w:sz w:val="18"/>
        </w:rPr>
      </w:pPr>
    </w:p>
    <w:p w14:paraId="706C6A64" w14:textId="77777777" w:rsidR="00FD716C" w:rsidRPr="00160F8F" w:rsidRDefault="00FD716C" w:rsidP="00FD716C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 xml:space="preserve">W zakres przedmiotu zamówienia wchodzi również dokonanie przez Wykonawcę w ramach rękojmi lub gwarancji, w terminie wyznaczonym przez Zamawiającego wszelkich poprawek, uzupełnień, modyfikacji w dokumentacji, których wykonanie będzie wymagane dla prawidłowej realizacji inwestycji (również w przypadku, gdy konieczność ich wprowadzenia wystąpi po przyjęciu przez Zamawiającego przedmiotu zamówienia i zapłacie za jego wykonanie). </w:t>
      </w:r>
    </w:p>
    <w:p w14:paraId="0A3A8474" w14:textId="77777777" w:rsidR="00203C38" w:rsidRPr="00160F8F" w:rsidRDefault="00355A4B" w:rsidP="00203C38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Ogólny program zadania inwestycyjnego </w:t>
      </w:r>
    </w:p>
    <w:p w14:paraId="01F80F04" w14:textId="77777777" w:rsidR="00203C38" w:rsidRPr="00160F8F" w:rsidRDefault="00355A4B" w:rsidP="00203C38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Stan istniejący</w:t>
      </w:r>
    </w:p>
    <w:p w14:paraId="2464BAC3" w14:textId="77777777" w:rsidR="00203C38" w:rsidRPr="00160F8F" w:rsidRDefault="00203C38" w:rsidP="00203C38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Plan orientacyjny i lokalizacja obiektu</w:t>
      </w:r>
    </w:p>
    <w:p w14:paraId="475D880F" w14:textId="18760CCB" w:rsidR="00203C38" w:rsidRPr="00160F8F" w:rsidRDefault="00355A4B" w:rsidP="00203C38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 xml:space="preserve">Stacja Gdynia Orłowo w obszarze zarządzanym przez SKM, zlokalizowana jest w ciągu linii kolejowej nr 250. Stacja położona jest w bezpośrednim sąsiedztwie gdyńskiej dzielnicy Orłowo oraz Centrum Handlowego Klif. Na stacji zlokalizowane są dwa perony: peron nr 1 wyspowy, wysoki przy torach nr 501 i nr 502 dla ruchu SKM, nr 2 wyspowy, średni przy torach nr 1 i nr 2 dla ruchu dalekobieżnego. Dojście na peron ze wspólnej przelotowej kładki od strony Gdyni Głównej, z platformą dźwigową oraz dodatkowo na peron SKM przejściem dla pieszych pod torem nr 501. Obszar projektu i inwestycji (numery działek) </w:t>
      </w:r>
      <w:proofErr w:type="gramStart"/>
      <w:r w:rsidRPr="00160F8F">
        <w:rPr>
          <w:sz w:val="18"/>
        </w:rPr>
        <w:t>znajdują  się</w:t>
      </w:r>
      <w:proofErr w:type="gramEnd"/>
      <w:r w:rsidRPr="00160F8F">
        <w:rPr>
          <w:sz w:val="18"/>
        </w:rPr>
        <w:t xml:space="preserve"> w załączniku nr </w:t>
      </w:r>
      <w:r w:rsidR="00712C5D">
        <w:rPr>
          <w:sz w:val="18"/>
        </w:rPr>
        <w:t>A</w:t>
      </w:r>
      <w:r w:rsidRPr="00160F8F">
        <w:rPr>
          <w:sz w:val="18"/>
        </w:rPr>
        <w:t xml:space="preserve">, dołączonym do niniejszego OPZ. </w:t>
      </w:r>
      <w:r w:rsidR="00113214" w:rsidRPr="00160F8F">
        <w:rPr>
          <w:sz w:val="18"/>
        </w:rPr>
        <w:t>Wykonawca jest zobowiązany do realizacji inwestycji we wskazanym obszarze, natomiast w przypadku wykroczenia poza ten obszar będzie zobowiązany do przeprowadzenia ponownej oceny oddziaływania na środowisko i uzyskania niezbędnych decyzji zgodnie z obowiązującymi przepisami, bez narażania Zamawiającego na utratę środków unijnych.</w:t>
      </w:r>
    </w:p>
    <w:p w14:paraId="6A398149" w14:textId="77777777" w:rsidR="00203C38" w:rsidRPr="00160F8F" w:rsidRDefault="00203C38" w:rsidP="00203C38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Nawierzchnia torowa </w:t>
      </w:r>
    </w:p>
    <w:p w14:paraId="3B21C58E" w14:textId="77777777" w:rsidR="00203C38" w:rsidRPr="00160F8F" w:rsidRDefault="00203C38" w:rsidP="00203C38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>Tor nr 501: szyny bezstykowe S-49, podkłady drewniane, przytwierdzenie typu „K”, podsypka tłuczniowa 31,5-50,0 o grubości ok. 30-35 cm. Rok budowy 1990. Stan techniczny toru dostateczny – tok wewnętrzny rozwalcowany, tok zewnętrzny po zmianie szyn o dużym bocznym zużyciu, podkłady wyeksploatowane, podsypka zanieczyszczona.</w:t>
      </w:r>
    </w:p>
    <w:p w14:paraId="19A4B1FA" w14:textId="77777777" w:rsidR="00355A4B" w:rsidRPr="00160F8F" w:rsidRDefault="00203C38" w:rsidP="00203C38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 xml:space="preserve">Tor nr 502: tor bezstykowy, szyny bezstykowe S-4 z roku 1991 oraz wstawki ok. 60m z roku 2015, podkłady strunobetonowe PS_94 z roku 2015, przytwierdzenie SB, podsypka tłuczniowa 31,5 – 50, 0 o grubości 30-35 cm, po przesianiu i uzupełnieniu w 2015 r. Stan techniczny toru dobry. </w:t>
      </w:r>
      <w:r w:rsidR="00113214" w:rsidRPr="00160F8F">
        <w:rPr>
          <w:sz w:val="18"/>
        </w:rPr>
        <w:t xml:space="preserve"> </w:t>
      </w:r>
    </w:p>
    <w:p w14:paraId="5E4C920B" w14:textId="77777777" w:rsidR="00203C38" w:rsidRPr="00160F8F" w:rsidRDefault="00203C38" w:rsidP="00203C38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Podtorze i odwodnienie </w:t>
      </w:r>
    </w:p>
    <w:p w14:paraId="3A8BA21D" w14:textId="77777777" w:rsidR="00EB608F" w:rsidRPr="00160F8F" w:rsidRDefault="00203C38" w:rsidP="00EB608F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>Tor nr 501: warstwa filtracyjna z pisaku, o grubości ok. 15-20cm, pochylenie podtorza 3-5%</w:t>
      </w:r>
      <w:r w:rsidR="00EB608F" w:rsidRPr="00160F8F">
        <w:rPr>
          <w:sz w:val="18"/>
        </w:rPr>
        <w:t xml:space="preserve"> od peronu. Odwodnienie torowiska bezpośrednio do gruntu bez drenaży, tor na nasypie. Brak właściwego ukształtowania ławy torowiska – pobocza. </w:t>
      </w:r>
    </w:p>
    <w:p w14:paraId="19D6FE84" w14:textId="77777777" w:rsidR="00EB608F" w:rsidRPr="00160F8F" w:rsidRDefault="00EB608F" w:rsidP="00203C38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 xml:space="preserve">Tor nr 502: warstwa filtracyjna z piasku, o grubości ok. 15-20 cm, na końcu peronu warstwa żwirowa ok. 20-30 mm grubość 20-25 cm, wcześniej na długości ok. 60 m warstwa wzmacniająca z </w:t>
      </w:r>
      <w:proofErr w:type="spellStart"/>
      <w:r w:rsidRPr="00160F8F">
        <w:rPr>
          <w:sz w:val="18"/>
        </w:rPr>
        <w:t>niesortu</w:t>
      </w:r>
      <w:proofErr w:type="spellEnd"/>
      <w:r w:rsidRPr="00160F8F">
        <w:rPr>
          <w:sz w:val="18"/>
        </w:rPr>
        <w:t xml:space="preserve">, grubość ok. 25 cm, pochylenie podtorza 3-5% od peronu. Odwodnienie torowiska bezpośrednie do gruntu. </w:t>
      </w:r>
    </w:p>
    <w:p w14:paraId="41C19B9A" w14:textId="77777777" w:rsidR="00C80D48" w:rsidRPr="00160F8F" w:rsidRDefault="00C80D48" w:rsidP="00C80D48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Sterowanie ruchem kolejowym</w:t>
      </w:r>
    </w:p>
    <w:p w14:paraId="3B7B2C27" w14:textId="77777777" w:rsidR="00C80D48" w:rsidRPr="00160F8F" w:rsidRDefault="00C80D48" w:rsidP="00C80D48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>W obrębie inwestycji (poza obszarem stacji) znajdują się urządzenia samoczynnej blokady liniowej wraz z kablami zasilającymi i sygnałowymi oraz urządzenia samoczynnego hamowania pociągów. Na stacji znajdują się urządzenia sterowania ruchem kolejowym, oparte na systemie komputerowym WTUZ. Na</w:t>
      </w:r>
      <w:r w:rsidR="007B45B7" w:rsidRPr="00160F8F">
        <w:rPr>
          <w:sz w:val="18"/>
        </w:rPr>
        <w:t xml:space="preserve"> stacji znajdują się rozjazdy wyposażone w napędy rozjazdowe typu S700 i semafory. Urządzenia serwerowe umieszczono w nastawni kontenerowej Or-SKM. Nastawnia umożliwia pracę lokalną dyżurnego ruchu w sytuacjach tego wymagających, natomiast zasadniczo sterowanie odbywa się w sposób zdalny z nastawni GG-SKM (Gdynia Główna).</w:t>
      </w:r>
    </w:p>
    <w:p w14:paraId="7F599966" w14:textId="77777777" w:rsidR="007B45B7" w:rsidRPr="00160F8F" w:rsidRDefault="007B45B7" w:rsidP="007B45B7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Sieć trakcyjna</w:t>
      </w:r>
    </w:p>
    <w:p w14:paraId="2B5ED7F7" w14:textId="77777777" w:rsidR="007B45B7" w:rsidRPr="00160F8F" w:rsidRDefault="007B45B7" w:rsidP="007B45B7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>Istniejąca sieć trakcyjna w obrębie peronu Gdynia Orłowo (sekcja L29 dla toru nr 501 i L30 dla toru nr 502): sieć typu C-95-2C+C185, wywieszona na słupach stalowych posadowionych na fundamentach betonowych wylewanych, na podwieszeniach teownikowych, rok budowy 1953, rok modernizacji 1987.</w:t>
      </w:r>
    </w:p>
    <w:p w14:paraId="708FE696" w14:textId="77777777" w:rsidR="00F57C95" w:rsidRPr="00160F8F" w:rsidRDefault="00BB50D4" w:rsidP="00F57C9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Elektroenergetyka niskiego napięcia</w:t>
      </w:r>
    </w:p>
    <w:p w14:paraId="5B8DE9BF" w14:textId="77777777" w:rsidR="00BB50D4" w:rsidRPr="00160F8F" w:rsidRDefault="00BB50D4" w:rsidP="00BB50D4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 xml:space="preserve">Zasilanie energetyczne przystanku wykonane jest z jednego przyłącza. Na peronie znajduje się kanalizacja energetyczna i instalacja elektryczna zasilająca oświetlenie na peronie, w przejściu </w:t>
      </w:r>
      <w:r w:rsidRPr="00160F8F">
        <w:rPr>
          <w:sz w:val="18"/>
        </w:rPr>
        <w:lastRenderedPageBreak/>
        <w:t xml:space="preserve">podziemnym oraz oświetlenie terenu obok byłej kasy biletowej, a także zasilająca zegar, kasowniki i dwa automaty biletowe. Obecna moc przyłączeniowa wynosi 25kW. W zakresie sterowania oświetleniem i EOR, linia kolejowa nr 250 wyposażona została w system </w:t>
      </w:r>
      <w:proofErr w:type="spellStart"/>
      <w:r w:rsidRPr="00160F8F">
        <w:rPr>
          <w:sz w:val="18"/>
        </w:rPr>
        <w:t>Dimac</w:t>
      </w:r>
      <w:proofErr w:type="spellEnd"/>
      <w:r w:rsidRPr="00160F8F">
        <w:rPr>
          <w:sz w:val="18"/>
        </w:rPr>
        <w:t xml:space="preserve">-Ek. Centrala tego systemu została zlokalizowana w budynku Dworca Podmiejskiego w Gdyni Głównej, natomiast każdy obiekt podłączony do systemu </w:t>
      </w:r>
      <w:proofErr w:type="spellStart"/>
      <w:r w:rsidRPr="00160F8F">
        <w:rPr>
          <w:sz w:val="18"/>
        </w:rPr>
        <w:t>Dimac</w:t>
      </w:r>
      <w:proofErr w:type="spellEnd"/>
      <w:r w:rsidRPr="00160F8F">
        <w:rPr>
          <w:sz w:val="18"/>
        </w:rPr>
        <w:t xml:space="preserve">-Ek (przystanek, stacja) jest wyposażany indywidualnie w rozdzielnicę sterującą, w tym sterownik służący do dwustronnej komunikacji z centralą. W pozostałych przypadkach oświetlenie załączane jest lokalnie poprzez zegar astronomiczny. Obecnie przystanek nie jest wyposażony w odpowiedni elementy umożliwiające sterowanie z Dworca Podmiejskiego. Ponadto na obiekcie znajduje się infrastruktura obcych podmiotów. </w:t>
      </w:r>
    </w:p>
    <w:p w14:paraId="6E4D3BE5" w14:textId="77777777" w:rsidR="00FD0B05" w:rsidRPr="00160F8F" w:rsidRDefault="00FD0B05" w:rsidP="00FD0B05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Teletechnika</w:t>
      </w:r>
    </w:p>
    <w:p w14:paraId="23FFB588" w14:textId="77777777" w:rsidR="00FD0B05" w:rsidRPr="00160F8F" w:rsidRDefault="00FD0B05" w:rsidP="00FD0B05">
      <w:pPr>
        <w:pStyle w:val="Akapitzlist"/>
        <w:ind w:left="1800"/>
        <w:jc w:val="both"/>
        <w:rPr>
          <w:sz w:val="18"/>
        </w:rPr>
      </w:pPr>
      <w:r w:rsidRPr="00160F8F">
        <w:rPr>
          <w:sz w:val="18"/>
        </w:rPr>
        <w:t xml:space="preserve">Peron wyposażony jest w 3-otworową kanalizację kablową, o średnicy otworu 110. W kanalizacji peronowej został ułożony światłowód </w:t>
      </w:r>
      <w:proofErr w:type="spellStart"/>
      <w:r w:rsidRPr="00160F8F">
        <w:rPr>
          <w:sz w:val="18"/>
        </w:rPr>
        <w:t>jednomodowy</w:t>
      </w:r>
      <w:proofErr w:type="spellEnd"/>
      <w:r w:rsidRPr="00160F8F">
        <w:rPr>
          <w:sz w:val="18"/>
        </w:rPr>
        <w:t xml:space="preserve"> 60J oraz 50-parowy kabel teletechniczny SKM. Kabel światłowodowy jest częścią szkieletowego połączenia optycznego, biegnącego pomiędzy kolejnymi stacjami i przystankami SKM. Główny punkt rozdzielczy stanowi szafa zewnętrzna systemów teletechnicznych, w której znajdują się przełącznice światłowodowe, z rozszytym światłowodem szkieletowym oraz zakończenia kabla teletechnicznego (TKM). Na końcu peronu w okolicy platformy dźwigowej pod schodami zlokalizowana jest szafa zewnętrzna systemów teletechnicznych. Szafa posiada przełącznik światłowodowy </w:t>
      </w:r>
      <w:proofErr w:type="spellStart"/>
      <w:r w:rsidRPr="00160F8F">
        <w:rPr>
          <w:sz w:val="18"/>
        </w:rPr>
        <w:t>jednomodowy</w:t>
      </w:r>
      <w:proofErr w:type="spellEnd"/>
      <w:r w:rsidRPr="00160F8F">
        <w:rPr>
          <w:sz w:val="18"/>
        </w:rPr>
        <w:t xml:space="preserve"> 12J i miedziany 10-parowy z obiektem OZS </w:t>
      </w:r>
      <w:proofErr w:type="spellStart"/>
      <w:r w:rsidRPr="00160F8F">
        <w:rPr>
          <w:sz w:val="18"/>
        </w:rPr>
        <w:t>GOr</w:t>
      </w:r>
      <w:proofErr w:type="spellEnd"/>
      <w:r w:rsidRPr="00160F8F">
        <w:rPr>
          <w:sz w:val="18"/>
        </w:rPr>
        <w:t xml:space="preserve">-SKM. W obrębie stacji zlokalizowany jest obiekt zdalnego sterowania </w:t>
      </w:r>
      <w:proofErr w:type="spellStart"/>
      <w:r w:rsidRPr="00160F8F">
        <w:rPr>
          <w:sz w:val="18"/>
        </w:rPr>
        <w:t>GOr</w:t>
      </w:r>
      <w:proofErr w:type="spellEnd"/>
      <w:r w:rsidRPr="00160F8F">
        <w:rPr>
          <w:sz w:val="18"/>
        </w:rPr>
        <w:t xml:space="preserve">-SKM, w którym znajdują się urządzenia bezprzewodowej łączności kolejowej i urządzenia </w:t>
      </w:r>
      <w:proofErr w:type="spellStart"/>
      <w:r w:rsidRPr="00160F8F">
        <w:rPr>
          <w:sz w:val="18"/>
        </w:rPr>
        <w:t>srk</w:t>
      </w:r>
      <w:proofErr w:type="spellEnd"/>
      <w:r w:rsidRPr="00160F8F">
        <w:rPr>
          <w:sz w:val="18"/>
        </w:rPr>
        <w:t>. Na stacji Gdynia Orłowo nie występują elementy systemu CCTV, występują natomiast elementy Systemu Informacji Pasażerskiej – tj. system zapowiedzi głosowych. Okablowanie z systemu SIP (nagłośnienia) jest prowadzone</w:t>
      </w:r>
      <w:r w:rsidR="00CC718C" w:rsidRPr="00160F8F">
        <w:rPr>
          <w:sz w:val="18"/>
        </w:rPr>
        <w:t xml:space="preserve"> z peronu do zewnętrznej szafy teletechnicznej. System zapowiedzi głosowych zbudowany jest w oparciu i głośniki tubowe rozmieszczone na terenie peronu. Okablowanie z głośników prowadzone jest do szafy zewnętrznej systemów teletechnicznych. Sterowanie nagłośnieniem realizowane jest ze stacji Gdynia </w:t>
      </w:r>
      <w:proofErr w:type="spellStart"/>
      <w:r w:rsidR="00CC718C" w:rsidRPr="00160F8F">
        <w:rPr>
          <w:sz w:val="18"/>
        </w:rPr>
        <w:t>Redłowo</w:t>
      </w:r>
      <w:proofErr w:type="spellEnd"/>
      <w:r w:rsidR="00CC718C" w:rsidRPr="00160F8F">
        <w:rPr>
          <w:sz w:val="18"/>
        </w:rPr>
        <w:t xml:space="preserve">. Komunikaty głosowe wygłaszane są z pulpitu mikrofonowego w GG-SKM. Nagłośnienie nie posiada urządzeń do wygłaszania komunikatów automatycznych. Na stacji </w:t>
      </w:r>
      <w:r w:rsidR="008F0199" w:rsidRPr="00160F8F">
        <w:rPr>
          <w:sz w:val="18"/>
        </w:rPr>
        <w:t xml:space="preserve">Gdynia Orłowo zainstalowane są dwa automaty biletowy oraz kasowniki. Automaty biletowe są skomunikowane z Centrum w Gdyni Głównej za pomocą GSM. Ponadto na obiekcie znajduje się infrastruktura obcych podmiotów. </w:t>
      </w:r>
    </w:p>
    <w:p w14:paraId="5A700553" w14:textId="2010FEC9" w:rsidR="00050496" w:rsidRPr="00160F8F" w:rsidRDefault="008F0199" w:rsidP="00050496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Zakres inwestycji </w:t>
      </w:r>
    </w:p>
    <w:p w14:paraId="470B156C" w14:textId="4012F002" w:rsidR="00050496" w:rsidRPr="00160F8F" w:rsidRDefault="00050496" w:rsidP="00050496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Nawierzchnia kolejowa </w:t>
      </w:r>
      <w:r w:rsidR="00631C19" w:rsidRPr="00160F8F">
        <w:rPr>
          <w:b/>
          <w:sz w:val="18"/>
        </w:rPr>
        <w:t>–</w:t>
      </w:r>
      <w:r w:rsidRPr="00160F8F">
        <w:rPr>
          <w:b/>
          <w:sz w:val="18"/>
        </w:rPr>
        <w:t xml:space="preserve"> rozjazdy</w:t>
      </w:r>
    </w:p>
    <w:p w14:paraId="1E36DEB5" w14:textId="147D9474" w:rsidR="00631C19" w:rsidRPr="00160F8F" w:rsidRDefault="00631C19" w:rsidP="00706329">
      <w:pPr>
        <w:pStyle w:val="Akapitzlist"/>
        <w:numPr>
          <w:ilvl w:val="0"/>
          <w:numId w:val="33"/>
        </w:numPr>
        <w:jc w:val="both"/>
        <w:rPr>
          <w:sz w:val="18"/>
        </w:rPr>
      </w:pPr>
      <w:r w:rsidRPr="00160F8F">
        <w:rPr>
          <w:sz w:val="18"/>
        </w:rPr>
        <w:t xml:space="preserve">Wykonawca musi zaprojektować wymianę rozjazdów nr 51, 52, 53, 54 </w:t>
      </w:r>
      <w:r w:rsidR="00706329" w:rsidRPr="00160F8F">
        <w:rPr>
          <w:sz w:val="18"/>
        </w:rPr>
        <w:t xml:space="preserve">na stacji Gdynia Orłowo. Należy </w:t>
      </w:r>
      <w:r w:rsidR="00AD2A1C" w:rsidRPr="00160F8F">
        <w:rPr>
          <w:sz w:val="18"/>
        </w:rPr>
        <w:t>zaprojektować</w:t>
      </w:r>
      <w:r w:rsidR="00706329" w:rsidRPr="00160F8F">
        <w:rPr>
          <w:sz w:val="18"/>
        </w:rPr>
        <w:t xml:space="preserve"> zabudowę rozjazdów nową nawierzchnią oraz zaprojektować wykonanie nowej nawierzchni między wymienianymi rozjazdami oraz na długości stref przejściowych rozjazdów. </w:t>
      </w:r>
    </w:p>
    <w:p w14:paraId="2E54512D" w14:textId="06AC7B55" w:rsidR="00706329" w:rsidRPr="00160F8F" w:rsidRDefault="00706329" w:rsidP="00706329">
      <w:pPr>
        <w:pStyle w:val="Akapitzlist"/>
        <w:numPr>
          <w:ilvl w:val="0"/>
          <w:numId w:val="33"/>
        </w:numPr>
        <w:jc w:val="both"/>
        <w:rPr>
          <w:sz w:val="18"/>
        </w:rPr>
      </w:pPr>
      <w:r w:rsidRPr="00160F8F">
        <w:rPr>
          <w:sz w:val="18"/>
        </w:rPr>
        <w:t xml:space="preserve">Należy zaprojektować nowe przejście rozjazdowe w torach nr 501 i 502 – pełny trapez od strony Sopotu wraz z połączeniami między rozjazdami. Promień kierunku zwrotnego powinien wynosić minimum 500 m – dotyczy to również zastosowania rozjazdów łukowanych – również w zakresie toru zwrotnego. </w:t>
      </w:r>
    </w:p>
    <w:p w14:paraId="220418FD" w14:textId="19B91945" w:rsidR="00706329" w:rsidRPr="00160F8F" w:rsidRDefault="00FA5508" w:rsidP="0070632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Sterowanie ruchem kolejowym </w:t>
      </w:r>
    </w:p>
    <w:p w14:paraId="6D0B2FF3" w14:textId="2E39260E" w:rsidR="00FA5508" w:rsidRPr="00160F8F" w:rsidRDefault="00FA5508" w:rsidP="00FA5508">
      <w:pPr>
        <w:pStyle w:val="Akapitzlist"/>
        <w:numPr>
          <w:ilvl w:val="0"/>
          <w:numId w:val="34"/>
        </w:numPr>
        <w:jc w:val="both"/>
        <w:rPr>
          <w:sz w:val="18"/>
        </w:rPr>
      </w:pPr>
      <w:r w:rsidRPr="00160F8F">
        <w:rPr>
          <w:sz w:val="18"/>
        </w:rPr>
        <w:t xml:space="preserve">Ze względu na wykonanie nowego przejścia rozjazdowego należy w projekcie przewidzieć zabudowę w rozjazdach napędów zwrotnicowych, </w:t>
      </w:r>
    </w:p>
    <w:p w14:paraId="6175BB27" w14:textId="64D25CA5" w:rsidR="00632495" w:rsidRPr="00160F8F" w:rsidRDefault="004D42D0" w:rsidP="00FA5508">
      <w:pPr>
        <w:pStyle w:val="Akapitzlist"/>
        <w:numPr>
          <w:ilvl w:val="0"/>
          <w:numId w:val="34"/>
        </w:numPr>
        <w:jc w:val="both"/>
        <w:rPr>
          <w:sz w:val="18"/>
        </w:rPr>
      </w:pPr>
      <w:r w:rsidRPr="00160F8F">
        <w:rPr>
          <w:sz w:val="18"/>
        </w:rPr>
        <w:t>Projekt s</w:t>
      </w:r>
      <w:r w:rsidR="00AE47A3" w:rsidRPr="00160F8F">
        <w:rPr>
          <w:sz w:val="18"/>
        </w:rPr>
        <w:t>tacj</w:t>
      </w:r>
      <w:r w:rsidRPr="00160F8F">
        <w:rPr>
          <w:sz w:val="18"/>
        </w:rPr>
        <w:t>i</w:t>
      </w:r>
      <w:r w:rsidR="00AE47A3" w:rsidRPr="00160F8F">
        <w:rPr>
          <w:sz w:val="18"/>
        </w:rPr>
        <w:t xml:space="preserve"> należy rozbudować o niezbędne semafory, tarcze, wskaźniki, liczniki osi itp.</w:t>
      </w:r>
      <w:r w:rsidR="006763A9" w:rsidRPr="00160F8F">
        <w:rPr>
          <w:sz w:val="18"/>
        </w:rPr>
        <w:t>,</w:t>
      </w:r>
    </w:p>
    <w:p w14:paraId="7DC279F6" w14:textId="0B656DA9" w:rsidR="006763A9" w:rsidRPr="00160F8F" w:rsidRDefault="006763A9" w:rsidP="00FA5508">
      <w:pPr>
        <w:pStyle w:val="Akapitzlist"/>
        <w:numPr>
          <w:ilvl w:val="0"/>
          <w:numId w:val="34"/>
        </w:numPr>
        <w:jc w:val="both"/>
        <w:rPr>
          <w:sz w:val="18"/>
        </w:rPr>
      </w:pPr>
      <w:r w:rsidRPr="00160F8F">
        <w:rPr>
          <w:sz w:val="18"/>
        </w:rPr>
        <w:t xml:space="preserve">Ze względu na </w:t>
      </w:r>
      <w:r w:rsidR="004D42D0" w:rsidRPr="00160F8F">
        <w:rPr>
          <w:sz w:val="18"/>
        </w:rPr>
        <w:t xml:space="preserve">przyszłą </w:t>
      </w:r>
      <w:r w:rsidRPr="00160F8F">
        <w:rPr>
          <w:sz w:val="18"/>
        </w:rPr>
        <w:t xml:space="preserve">rozbudowę stacji należy również uwzględnić wpływ na samoczynną blokadę liniową, należy przewidzieć dokonania odpowiedniej korekty w urządzeniach </w:t>
      </w:r>
      <w:proofErr w:type="spellStart"/>
      <w:r w:rsidRPr="00160F8F">
        <w:rPr>
          <w:sz w:val="18"/>
        </w:rPr>
        <w:t>sbl</w:t>
      </w:r>
      <w:proofErr w:type="spellEnd"/>
      <w:r w:rsidRPr="00160F8F">
        <w:rPr>
          <w:sz w:val="18"/>
        </w:rPr>
        <w:t xml:space="preserve"> włącznie z oznakowaniem,</w:t>
      </w:r>
    </w:p>
    <w:p w14:paraId="3E120850" w14:textId="01B4E52F" w:rsidR="006763A9" w:rsidRPr="00160F8F" w:rsidRDefault="006763A9" w:rsidP="00FA5508">
      <w:pPr>
        <w:pStyle w:val="Akapitzlist"/>
        <w:numPr>
          <w:ilvl w:val="0"/>
          <w:numId w:val="34"/>
        </w:numPr>
        <w:jc w:val="both"/>
        <w:rPr>
          <w:sz w:val="18"/>
        </w:rPr>
      </w:pPr>
      <w:r w:rsidRPr="00160F8F">
        <w:rPr>
          <w:sz w:val="18"/>
        </w:rPr>
        <w:t>Należy zaprojektować rozbudowę urządzeń znajdujących się w nastawni kontenerowej,</w:t>
      </w:r>
    </w:p>
    <w:p w14:paraId="13C8FD7E" w14:textId="1BA64995" w:rsidR="006763A9" w:rsidRPr="00160F8F" w:rsidRDefault="006763A9" w:rsidP="00FA5508">
      <w:pPr>
        <w:pStyle w:val="Akapitzlist"/>
        <w:numPr>
          <w:ilvl w:val="0"/>
          <w:numId w:val="34"/>
        </w:numPr>
        <w:jc w:val="both"/>
        <w:rPr>
          <w:sz w:val="18"/>
        </w:rPr>
      </w:pPr>
      <w:r w:rsidRPr="00160F8F">
        <w:rPr>
          <w:sz w:val="18"/>
        </w:rPr>
        <w:t xml:space="preserve">Opracowanie rozwiązań i wdrożeń w zakresie </w:t>
      </w:r>
      <w:proofErr w:type="spellStart"/>
      <w:r w:rsidRPr="00160F8F">
        <w:rPr>
          <w:sz w:val="18"/>
        </w:rPr>
        <w:t>srk</w:t>
      </w:r>
      <w:proofErr w:type="spellEnd"/>
      <w:r w:rsidRPr="00160F8F">
        <w:rPr>
          <w:sz w:val="18"/>
        </w:rPr>
        <w:t xml:space="preserve"> należy potraktować kompleksowo, </w:t>
      </w:r>
      <w:proofErr w:type="gramStart"/>
      <w:r w:rsidRPr="00160F8F">
        <w:rPr>
          <w:sz w:val="18"/>
        </w:rPr>
        <w:t>tak aby</w:t>
      </w:r>
      <w:proofErr w:type="gramEnd"/>
      <w:r w:rsidRPr="00160F8F">
        <w:rPr>
          <w:sz w:val="18"/>
        </w:rPr>
        <w:t xml:space="preserve"> zapewnić cele i funkcjonalności wynikające z utworzenia nowego przejścia rozjazdowego na stacji. </w:t>
      </w:r>
    </w:p>
    <w:p w14:paraId="55619119" w14:textId="2E8B6A96" w:rsidR="006763A9" w:rsidRPr="00160F8F" w:rsidRDefault="006763A9" w:rsidP="006763A9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Sieć trakcyjna</w:t>
      </w:r>
    </w:p>
    <w:p w14:paraId="3584B716" w14:textId="7DFF6001" w:rsidR="006763A9" w:rsidRPr="00160F8F" w:rsidRDefault="006763A9" w:rsidP="006763A9">
      <w:pPr>
        <w:pStyle w:val="Akapitzlist"/>
        <w:numPr>
          <w:ilvl w:val="0"/>
          <w:numId w:val="35"/>
        </w:numPr>
        <w:jc w:val="both"/>
        <w:rPr>
          <w:sz w:val="18"/>
        </w:rPr>
      </w:pPr>
      <w:r w:rsidRPr="00160F8F">
        <w:rPr>
          <w:sz w:val="18"/>
        </w:rPr>
        <w:t xml:space="preserve">Należy zaprojektować nową sekcję sieci trakcyjnej nowego przejścia rozjazdowego wraz z układem zasilania i integracją z istniejącym układem zasilania </w:t>
      </w:r>
      <w:r w:rsidR="00532DA0" w:rsidRPr="00160F8F">
        <w:rPr>
          <w:sz w:val="18"/>
        </w:rPr>
        <w:t xml:space="preserve">sieci trakcyjnej linii kolejowej nr 250 od dostawcy energii trakcyjnej, w tym zapewnienie zdalnego sterowania odłącznikami z istniejącego systemu, </w:t>
      </w:r>
    </w:p>
    <w:p w14:paraId="4913128E" w14:textId="6675B120" w:rsidR="00532DA0" w:rsidRPr="00160F8F" w:rsidRDefault="00532DA0" w:rsidP="00532DA0">
      <w:pPr>
        <w:pStyle w:val="Akapitzlist"/>
        <w:numPr>
          <w:ilvl w:val="2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Elektryczne ogrzewanie rozjazdów </w:t>
      </w:r>
    </w:p>
    <w:p w14:paraId="4C18F4DC" w14:textId="50C99A22" w:rsidR="00532DA0" w:rsidRPr="00160F8F" w:rsidRDefault="00532DA0" w:rsidP="00532DA0">
      <w:pPr>
        <w:pStyle w:val="Akapitzlist"/>
        <w:numPr>
          <w:ilvl w:val="0"/>
          <w:numId w:val="35"/>
        </w:numPr>
        <w:jc w:val="both"/>
        <w:rPr>
          <w:sz w:val="18"/>
        </w:rPr>
      </w:pPr>
      <w:proofErr w:type="gramStart"/>
      <w:r w:rsidRPr="00160F8F">
        <w:rPr>
          <w:sz w:val="18"/>
        </w:rPr>
        <w:lastRenderedPageBreak/>
        <w:t>projektując</w:t>
      </w:r>
      <w:proofErr w:type="gramEnd"/>
      <w:r w:rsidRPr="00160F8F">
        <w:rPr>
          <w:sz w:val="18"/>
        </w:rPr>
        <w:t xml:space="preserve"> rozjazdy w nowym przejściu rozjazdowym należy zaprojektować urządzenie elektrycznego ogrzewania rozjazdów (EOR) wraz z urządzeniami i układami elektroenergetyki do 1kV, w tym zasilanie </w:t>
      </w:r>
      <w:proofErr w:type="spellStart"/>
      <w:r w:rsidRPr="00160F8F">
        <w:rPr>
          <w:sz w:val="18"/>
        </w:rPr>
        <w:t>nN</w:t>
      </w:r>
      <w:proofErr w:type="spellEnd"/>
      <w:r w:rsidRPr="00160F8F">
        <w:rPr>
          <w:sz w:val="18"/>
        </w:rPr>
        <w:t xml:space="preserve"> (przyłącza elektroenergetyczne </w:t>
      </w:r>
      <w:proofErr w:type="spellStart"/>
      <w:r w:rsidRPr="00160F8F">
        <w:rPr>
          <w:sz w:val="18"/>
        </w:rPr>
        <w:t>nN</w:t>
      </w:r>
      <w:proofErr w:type="spellEnd"/>
      <w:r w:rsidRPr="00160F8F">
        <w:rPr>
          <w:sz w:val="18"/>
        </w:rPr>
        <w:t xml:space="preserve">), </w:t>
      </w:r>
    </w:p>
    <w:p w14:paraId="063F0B07" w14:textId="6B0D91BB" w:rsidR="00A5277B" w:rsidRPr="00160F8F" w:rsidRDefault="00D54867" w:rsidP="00A5277B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Szczegółowy zakres prac projektowych</w:t>
      </w:r>
    </w:p>
    <w:p w14:paraId="00D22BA1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Dokumentacja powinna obejmować: </w:t>
      </w:r>
    </w:p>
    <w:p w14:paraId="19E0767D" w14:textId="67F223F9" w:rsidR="003E1BE5" w:rsidRPr="00160F8F" w:rsidRDefault="003E1BE5" w:rsidP="003E1BE5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160F8F">
        <w:rPr>
          <w:sz w:val="18"/>
        </w:rPr>
        <w:t xml:space="preserve">Dokumentację projektową tj.: projekt budowlany, projekty wykonawcze, przedmiar robót z kosztorysem, informację dotycząca bezpieczeństwa i ochrony zdrowia, </w:t>
      </w:r>
      <w:proofErr w:type="spellStart"/>
      <w:r w:rsidRPr="00160F8F">
        <w:rPr>
          <w:sz w:val="18"/>
        </w:rPr>
        <w:t>STWiORB</w:t>
      </w:r>
      <w:proofErr w:type="spellEnd"/>
      <w:r w:rsidRPr="00160F8F">
        <w:rPr>
          <w:sz w:val="18"/>
        </w:rPr>
        <w:t xml:space="preserve">, </w:t>
      </w:r>
    </w:p>
    <w:p w14:paraId="532E5953" w14:textId="77777777" w:rsidR="003E1BE5" w:rsidRPr="00160F8F" w:rsidRDefault="003E1BE5" w:rsidP="003E1BE5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160F8F">
        <w:rPr>
          <w:sz w:val="18"/>
        </w:rPr>
        <w:t xml:space="preserve">Pozwolenie na budowę, </w:t>
      </w:r>
    </w:p>
    <w:p w14:paraId="3425A82C" w14:textId="77777777" w:rsidR="003E1BE5" w:rsidRPr="00160F8F" w:rsidRDefault="003E1BE5" w:rsidP="003E1BE5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160F8F">
        <w:rPr>
          <w:sz w:val="18"/>
        </w:rPr>
        <w:t xml:space="preserve">Pozwolenia i decyzje wymagane odrębnymi przepisami prawa oraz umożliwiające realizację inwestycji, </w:t>
      </w:r>
    </w:p>
    <w:p w14:paraId="23B16811" w14:textId="77777777" w:rsidR="003E1BE5" w:rsidRPr="00160F8F" w:rsidRDefault="003E1BE5" w:rsidP="003E1BE5">
      <w:pPr>
        <w:pStyle w:val="Akapitzlist"/>
        <w:numPr>
          <w:ilvl w:val="0"/>
          <w:numId w:val="22"/>
        </w:numPr>
        <w:jc w:val="both"/>
        <w:rPr>
          <w:sz w:val="18"/>
        </w:rPr>
      </w:pPr>
      <w:r w:rsidRPr="00160F8F">
        <w:rPr>
          <w:sz w:val="18"/>
        </w:rPr>
        <w:t xml:space="preserve">Inne projekty specjalistyczne, niezbędne dla realizacji zadania. </w:t>
      </w:r>
    </w:p>
    <w:p w14:paraId="1FA3E598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Na etapie projektowania będą organizowane cykliczne spotkania koordynacyjne. Spotkania będą odbywać się z częstotliwością jeden raz na trzy tygodnie. Zamawiający zastrzega sobie prawo do zwiększenia lub zmniejszenia liczby spotkań w zależności od postępu prac i ich intensywności. Spotkania odbywać się będą w siedzibie Zamawiającego. Organizacja spotkań i udział w nich projektantów branżowych jest obowiązkiem Wykonawcy. W zakresie tych obowiązków koordynator z ramienia Wykonawcy, każdorazowo na spotkanie przygotuje prezentację dotyczącą postępu prac nad dokumentem. Obecność koordynatora lub upoważnionego przez niego zastępcy jest obowiązkowa na każdym spotkaniu, ponadto w zależności od omawianego na spotkaniu etapu prac projektowych, w obowiązku Koordynatora z ramienia Wykonawcy jest przybycie na to spotkanie z właściwym branżowym projektantem. </w:t>
      </w:r>
    </w:p>
    <w:p w14:paraId="48B522F2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Dokumentacja projektowa musi spełniać wymagania zawarte w Rozporządzeniu Ministra Infrastruktury z dnia 2 września 2004 r. w sprawie szczegółowego zakresu i formy dokumentacji projektowej, specyfikacji technicznych wykonania i odbioru robót budowlanych (Dz. U. 2013 </w:t>
      </w:r>
      <w:proofErr w:type="gramStart"/>
      <w:r w:rsidRPr="00160F8F">
        <w:rPr>
          <w:sz w:val="18"/>
        </w:rPr>
        <w:t>r</w:t>
      </w:r>
      <w:proofErr w:type="gramEnd"/>
      <w:r w:rsidRPr="00160F8F">
        <w:rPr>
          <w:sz w:val="18"/>
        </w:rPr>
        <w:t xml:space="preserve">., poz. 1129, z </w:t>
      </w:r>
      <w:proofErr w:type="spellStart"/>
      <w:r w:rsidRPr="00160F8F">
        <w:rPr>
          <w:sz w:val="18"/>
        </w:rPr>
        <w:t>późn</w:t>
      </w:r>
      <w:proofErr w:type="spellEnd"/>
      <w:r w:rsidRPr="00160F8F">
        <w:rPr>
          <w:sz w:val="18"/>
        </w:rPr>
        <w:t xml:space="preserve">. </w:t>
      </w:r>
      <w:proofErr w:type="gramStart"/>
      <w:r w:rsidRPr="00160F8F">
        <w:rPr>
          <w:sz w:val="18"/>
        </w:rPr>
        <w:t>zm</w:t>
      </w:r>
      <w:proofErr w:type="gramEnd"/>
      <w:r w:rsidRPr="00160F8F">
        <w:rPr>
          <w:sz w:val="18"/>
        </w:rPr>
        <w:t xml:space="preserve">.). </w:t>
      </w:r>
    </w:p>
    <w:p w14:paraId="680A6F5C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Opracowanie projektu budowlanego powinno być zgodne z wymaganiami rozporządzeń wykonawczych do ustaw Prawo budowlane, zgodne z przepisami techniczno-budowlanymi i normami oraz zasadami współczesnej wiedzy technicznej.</w:t>
      </w:r>
    </w:p>
    <w:p w14:paraId="735F0744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W celu realizacji prac projektowych, wymagane jest posiadanie przez Wykonawcę uprawnień do realizacji prac projektowych oraz niezbędnej wiedzy i doświadczenia oraz posiadanie wystarczającego potencjału ludzkiego i technicznego. Każda część projektu budowlanego winna być opracowana przez właściwego wg specjalizacji uprawnionego projektanta i odpowiednio zweryfikowana przez projektanta sprawdzającego. Wymagane jest, aby branża architektoniczna była opracowana i zweryfikowana przez projektantów posiadających uprawnienia w specjalności architektonicznej. </w:t>
      </w:r>
    </w:p>
    <w:p w14:paraId="5AA043BC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Wykonawca powinien przeprowadzić szczegółową inwentaryzację – obejmującą wizję lokalną – oraz przeprowadzić niezbędne badania, odkrywki itp. w celu uzyskania wszystkich niezbędnych informacji umożliwiających poprawne i kompletne przygotowanie dokumentacji projektowej. Wykonawca zobowiązany jest powiadomić Zamawiającego o terminie dokonywania inwentaryzacji, i po uzyskaniu zgody Zamawiającego, przy jego udziale przeprowadzić inwentaryzację. Koszt powyższych prac oraz odpowiedzialność za treść uzyskanych informacji i inne skutki ponosi sam Wykonawca. Wstęp na teren kolejowy zarządzany przez PKP SKM w Trójmieście sp. z o.</w:t>
      </w:r>
      <w:proofErr w:type="gramStart"/>
      <w:r w:rsidRPr="00160F8F">
        <w:rPr>
          <w:sz w:val="18"/>
        </w:rPr>
        <w:t>o</w:t>
      </w:r>
      <w:proofErr w:type="gramEnd"/>
      <w:r w:rsidRPr="00160F8F">
        <w:rPr>
          <w:sz w:val="18"/>
        </w:rPr>
        <w:t xml:space="preserve">., </w:t>
      </w:r>
      <w:proofErr w:type="gramStart"/>
      <w:r w:rsidRPr="00160F8F">
        <w:rPr>
          <w:sz w:val="18"/>
        </w:rPr>
        <w:t>poza</w:t>
      </w:r>
      <w:proofErr w:type="gramEnd"/>
      <w:r w:rsidRPr="00160F8F">
        <w:rPr>
          <w:sz w:val="18"/>
        </w:rPr>
        <w:t xml:space="preserve"> miejscami wyznaczonymi dla dostępu publicznego, dozwolony jest na podstawie upoważnienia wydanego przez Komendę Straży Ochrony Kolei SKM zgodnie z „Regulaminem określającym zasady wstępu oraz przebywania na obszarze kolejowym i w pojazdach kolejowych PKP SKM w Trójmieście sp. z o.</w:t>
      </w:r>
      <w:proofErr w:type="gramStart"/>
      <w:r w:rsidRPr="00160F8F">
        <w:rPr>
          <w:sz w:val="18"/>
        </w:rPr>
        <w:t>o</w:t>
      </w:r>
      <w:proofErr w:type="gramEnd"/>
      <w:r w:rsidRPr="00160F8F">
        <w:rPr>
          <w:sz w:val="18"/>
        </w:rPr>
        <w:t xml:space="preserve">.”. </w:t>
      </w:r>
      <w:proofErr w:type="gramStart"/>
      <w:r w:rsidRPr="00160F8F">
        <w:rPr>
          <w:sz w:val="18"/>
        </w:rPr>
        <w:t>natomiast</w:t>
      </w:r>
      <w:proofErr w:type="gramEnd"/>
      <w:r w:rsidRPr="00160F8F">
        <w:rPr>
          <w:sz w:val="18"/>
        </w:rPr>
        <w:t xml:space="preserve"> wstęp na teren kolejowy zarządzany przez PKP Polskie Linie Kolejowe S.A., </w:t>
      </w:r>
      <w:proofErr w:type="gramStart"/>
      <w:r w:rsidRPr="00160F8F">
        <w:rPr>
          <w:sz w:val="18"/>
        </w:rPr>
        <w:t>poza</w:t>
      </w:r>
      <w:proofErr w:type="gramEnd"/>
      <w:r w:rsidRPr="00160F8F">
        <w:rPr>
          <w:sz w:val="18"/>
        </w:rPr>
        <w:t xml:space="preserve"> miejscami wyznaczonymi dla dostępu publicznego, dozwolony jest na podstawie upoważnienia wydanego przez Komendę Regionalną Straży Ochrony Kolei PKP PLK S.A. </w:t>
      </w:r>
      <w:proofErr w:type="gramStart"/>
      <w:r w:rsidRPr="00160F8F">
        <w:rPr>
          <w:sz w:val="18"/>
        </w:rPr>
        <w:t>w</w:t>
      </w:r>
      <w:proofErr w:type="gramEnd"/>
      <w:r w:rsidRPr="00160F8F">
        <w:rPr>
          <w:sz w:val="18"/>
        </w:rPr>
        <w:t xml:space="preserve"> Gdańsku zgodnie z „Zasadami wstępu na obszar kolejowy zarządzany przez Polskie Linie Kolejowe Id-21” oraz Wytycznymi Ibh-101. Zezwolenia wydane przez SKM są nieodpłatne. Zezwolenia PKP PLK Wykonawca powinien pozyskać własnym staraniem i na własny koszt. </w:t>
      </w:r>
    </w:p>
    <w:p w14:paraId="5949C565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Wykonawca pozyska mapy do celów projektowych, dane dotyczące działek ewidencyjnych tj. wypisy i wyrysy z ewidencji gruntów, wypisy i wyrysy z miejscowego planu zagospodarowania przestrzennego, jeżeli taki plan został uchwalony, a także pozyska decyzję o lokalizacji inwestycji celu publicznego. Wykonawca pozyska powyższe materiały własnym staraniem i na własny koszt. Mapy do celów projektowych winny być również opracowane w wersji numerycznej. Na wersji numerycznej należy wykonać dokumentację projektową. </w:t>
      </w:r>
    </w:p>
    <w:p w14:paraId="72F4319A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Zakres opracowania mapy sytuacyjno-wysokościowej obejmuje niezbędny obszar dla inwestycji, zgodnie z Rozporządzeniem Ministra Gospodarki </w:t>
      </w:r>
      <w:proofErr w:type="gramStart"/>
      <w:r w:rsidRPr="00160F8F">
        <w:rPr>
          <w:sz w:val="18"/>
        </w:rPr>
        <w:t>Przestrzennej                    i</w:t>
      </w:r>
      <w:proofErr w:type="gramEnd"/>
      <w:r w:rsidRPr="00160F8F">
        <w:rPr>
          <w:sz w:val="18"/>
        </w:rPr>
        <w:t xml:space="preserve"> Budownictwa z dnia 21 lutego 1995 r. w sprawie rodzaju i zakresu opracowań geodezyjno-kartograficznych oraz czynności geodezyjnych obowiązujących                    w budownictwie.</w:t>
      </w:r>
    </w:p>
    <w:p w14:paraId="6C0A352B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lastRenderedPageBreak/>
        <w:t>Wszelkie czynności i prace geodezyjne, wykonywane w ramach umowy, muszą być wykonywane zgodnie z przepisami prawnymi, obowiązującymi na obszarze Rzeczypospolitej Polskiej.</w:t>
      </w:r>
    </w:p>
    <w:p w14:paraId="3A864D3A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Pomiary sytuacyjne i wysokościowe dla obiektów należy wykonać w nawiązaniu do osnowy sytuacyjnej i wysokościowej w układach odniesienia wymaganych w odpowiednich terytorialnie </w:t>
      </w:r>
      <w:proofErr w:type="spellStart"/>
      <w:r w:rsidRPr="00160F8F">
        <w:rPr>
          <w:sz w:val="18"/>
        </w:rPr>
        <w:t>KODGiK</w:t>
      </w:r>
      <w:proofErr w:type="spellEnd"/>
      <w:r w:rsidRPr="00160F8F">
        <w:rPr>
          <w:sz w:val="18"/>
        </w:rPr>
        <w:t xml:space="preserve"> oraz </w:t>
      </w:r>
      <w:proofErr w:type="spellStart"/>
      <w:r w:rsidRPr="00160F8F">
        <w:rPr>
          <w:sz w:val="18"/>
        </w:rPr>
        <w:t>PODGiK</w:t>
      </w:r>
      <w:proofErr w:type="spellEnd"/>
      <w:r w:rsidRPr="00160F8F">
        <w:rPr>
          <w:sz w:val="18"/>
        </w:rPr>
        <w:t>.</w:t>
      </w:r>
    </w:p>
    <w:p w14:paraId="315FF81A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Wszelkie zmiany wprowadzone przez Projektanta po akceptacji dokumentacji wymagają ponownej akceptacji Zamawiającego i jeżeli zmiany te dotyczą zakresu uzgodnionego przez rzeczoznawcę – również akceptacji z jego strony.</w:t>
      </w:r>
    </w:p>
    <w:p w14:paraId="12C23FA7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W trakcie realizacji zadania Wykonawca zobowiązany jest do przedkładania i udostępniania </w:t>
      </w:r>
      <w:proofErr w:type="gramStart"/>
      <w:r w:rsidRPr="00160F8F">
        <w:rPr>
          <w:sz w:val="18"/>
        </w:rPr>
        <w:t>Zamawiającemu  informacji</w:t>
      </w:r>
      <w:proofErr w:type="gramEnd"/>
      <w:r w:rsidRPr="00160F8F">
        <w:rPr>
          <w:sz w:val="18"/>
        </w:rPr>
        <w:t xml:space="preserve"> związanych z opracowywaną dokumentacją.</w:t>
      </w:r>
    </w:p>
    <w:p w14:paraId="3594842D" w14:textId="77777777" w:rsidR="003E1BE5" w:rsidRPr="00160F8F" w:rsidRDefault="003E1BE5" w:rsidP="003E1BE5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Wykonawca na pisemny wniosek otrzyma od Zamawiającego stosowne pełnomocnictwa niezbędne dla realizacji przedmiotu umowy.</w:t>
      </w:r>
    </w:p>
    <w:p w14:paraId="02D61146" w14:textId="77777777" w:rsidR="006A36DF" w:rsidRPr="00160F8F" w:rsidRDefault="006A36DF" w:rsidP="006A36DF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Dokumentacja dostarczana Zamawiającemu musi zawierać:</w:t>
      </w:r>
    </w:p>
    <w:p w14:paraId="11FE94E0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tytuł</w:t>
      </w:r>
      <w:proofErr w:type="gramEnd"/>
      <w:r w:rsidRPr="00160F8F">
        <w:rPr>
          <w:sz w:val="18"/>
        </w:rPr>
        <w:t xml:space="preserve"> dokumentu,</w:t>
      </w:r>
    </w:p>
    <w:p w14:paraId="5329744D" w14:textId="43FB126C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nazwę</w:t>
      </w:r>
      <w:proofErr w:type="gramEnd"/>
      <w:r w:rsidRPr="00160F8F">
        <w:rPr>
          <w:sz w:val="18"/>
        </w:rPr>
        <w:t xml:space="preserve"> projektu,</w:t>
      </w:r>
    </w:p>
    <w:p w14:paraId="785F937F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adres</w:t>
      </w:r>
      <w:proofErr w:type="gramEnd"/>
      <w:r w:rsidRPr="00160F8F">
        <w:rPr>
          <w:sz w:val="18"/>
        </w:rPr>
        <w:t xml:space="preserve"> obiektu budowlanego i numery ewidencyjne działek, na których obiekt jest usytuowany,</w:t>
      </w:r>
    </w:p>
    <w:p w14:paraId="14859C22" w14:textId="77777777" w:rsidR="003E1BE5" w:rsidRPr="00160F8F" w:rsidRDefault="003E1BE5" w:rsidP="003E1BE5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numer</w:t>
      </w:r>
      <w:proofErr w:type="gramEnd"/>
      <w:r w:rsidRPr="00160F8F">
        <w:rPr>
          <w:sz w:val="18"/>
        </w:rPr>
        <w:t xml:space="preserve"> wersji dokumentu,</w:t>
      </w:r>
    </w:p>
    <w:p w14:paraId="77334647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datę</w:t>
      </w:r>
      <w:proofErr w:type="gramEnd"/>
      <w:r w:rsidRPr="00160F8F">
        <w:rPr>
          <w:sz w:val="18"/>
        </w:rPr>
        <w:t xml:space="preserve"> powstania dokumentu,</w:t>
      </w:r>
    </w:p>
    <w:p w14:paraId="051C020A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nazwę</w:t>
      </w:r>
      <w:proofErr w:type="gramEnd"/>
      <w:r w:rsidRPr="00160F8F">
        <w:rPr>
          <w:sz w:val="18"/>
        </w:rPr>
        <w:t xml:space="preserve"> i adres Wykonawcy,</w:t>
      </w:r>
    </w:p>
    <w:p w14:paraId="2AC73E16" w14:textId="77777777" w:rsidR="00CA1C57" w:rsidRPr="00160F8F" w:rsidRDefault="00CA1C57" w:rsidP="00CA1C57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oznaczenia</w:t>
      </w:r>
      <w:proofErr w:type="gramEnd"/>
      <w:r w:rsidRPr="00160F8F">
        <w:rPr>
          <w:sz w:val="18"/>
        </w:rPr>
        <w:t xml:space="preserve"> wymagane dla projektów realizowanych z funduszy Unii Europejskiej zgodnie z odpowiednimi wymaganiami dla RPO WP 2-14-2020 (Szczegółowe postanowienia oraz prawa i obowiązki Stron Umowy o dofinansowanie współfinansowanego z Europejskiego Funduszu Rozwoju Regionalnego w ramach Regionalnego Programu Operacyjnego Województwa Pomorskiego na lata 2014-2020)) </w:t>
      </w:r>
    </w:p>
    <w:p w14:paraId="39D8961F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nazwę</w:t>
      </w:r>
      <w:proofErr w:type="gramEnd"/>
      <w:r w:rsidRPr="00160F8F">
        <w:rPr>
          <w:sz w:val="18"/>
        </w:rPr>
        <w:t xml:space="preserve"> i adres Zamawiającego,</w:t>
      </w:r>
    </w:p>
    <w:p w14:paraId="41CA3515" w14:textId="77777777" w:rsidR="00CA1C57" w:rsidRPr="00160F8F" w:rsidRDefault="00CA1C57" w:rsidP="00CA1C57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</w:t>
      </w:r>
      <w:proofErr w:type="gramEnd"/>
      <w:r w:rsidRPr="00160F8F">
        <w:rPr>
          <w:sz w:val="18"/>
        </w:rPr>
        <w:t xml:space="preserve"> początku dokumentu spis treści dokumentu,</w:t>
      </w:r>
    </w:p>
    <w:p w14:paraId="4DC0D557" w14:textId="77777777" w:rsidR="00CA1C57" w:rsidRPr="00160F8F" w:rsidRDefault="00CA1C57" w:rsidP="00CA1C57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pod</w:t>
      </w:r>
      <w:proofErr w:type="gramEnd"/>
      <w:r w:rsidRPr="00160F8F">
        <w:rPr>
          <w:sz w:val="18"/>
        </w:rPr>
        <w:t xml:space="preserve"> spisem treści wykaz użytych skrótów i oznaczeń wraz z objaśnieniami,</w:t>
      </w:r>
    </w:p>
    <w:p w14:paraId="55831A6E" w14:textId="77777777" w:rsidR="00CA1C57" w:rsidRPr="00160F8F" w:rsidRDefault="00CA1C57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nagłówek</w:t>
      </w:r>
      <w:proofErr w:type="gramEnd"/>
      <w:r w:rsidRPr="00160F8F">
        <w:rPr>
          <w:sz w:val="18"/>
        </w:rPr>
        <w:t xml:space="preserve"> na każdej stronie dokumentu tekstowego z tytułem dokumentu i numerem wersji </w:t>
      </w:r>
    </w:p>
    <w:p w14:paraId="30339F10" w14:textId="590FFDA9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stopka</w:t>
      </w:r>
      <w:proofErr w:type="gramEnd"/>
      <w:r w:rsidRPr="00160F8F">
        <w:rPr>
          <w:sz w:val="18"/>
        </w:rPr>
        <w:t xml:space="preserve"> na każdej stronie dokumentu z numerem strony oraz liczbą stron kompletnego dokumentu,</w:t>
      </w:r>
    </w:p>
    <w:p w14:paraId="4769F803" w14:textId="77777777" w:rsidR="006A36DF" w:rsidRPr="00160F8F" w:rsidRDefault="006A36DF" w:rsidP="006A36DF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>Dodatkowo dokumentacja projektowa powinna obejmować:</w:t>
      </w:r>
    </w:p>
    <w:p w14:paraId="475C7257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zestawienie</w:t>
      </w:r>
      <w:proofErr w:type="gramEnd"/>
      <w:r w:rsidRPr="00160F8F">
        <w:rPr>
          <w:sz w:val="18"/>
        </w:rPr>
        <w:t xml:space="preserve"> tabelaryczne warunków, uzgodnień, pozwoleń, opinii, a także stosownie do potrzeb, oświadczeń właściwych jednostek organizacyjnych, załączonych do projektu i wymaganych przepisami,</w:t>
      </w:r>
    </w:p>
    <w:p w14:paraId="409B58FC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na</w:t>
      </w:r>
      <w:proofErr w:type="gramEnd"/>
      <w:r w:rsidRPr="00160F8F">
        <w:rPr>
          <w:sz w:val="18"/>
        </w:rPr>
        <w:t xml:space="preserve"> końcu dokumentu spis wykorzystanych norm, przepisów i literatury przywołanej w dokumencie,</w:t>
      </w:r>
    </w:p>
    <w:p w14:paraId="22B18C2C" w14:textId="7B323D4F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imiona</w:t>
      </w:r>
      <w:proofErr w:type="gramEnd"/>
      <w:r w:rsidRPr="00160F8F">
        <w:rPr>
          <w:sz w:val="18"/>
        </w:rPr>
        <w:t xml:space="preserve"> i nazwiska projektantów i sprawdzających wszystkich części projektu wraz z określeniem zakresu ich opracowania, specjalności i numeru posiadanych uprawnień budowlanych oraz podpisy</w:t>
      </w:r>
      <w:r w:rsidR="00CA1C57" w:rsidRPr="00160F8F">
        <w:rPr>
          <w:sz w:val="18"/>
        </w:rPr>
        <w:t>,</w:t>
      </w:r>
    </w:p>
    <w:p w14:paraId="5166FCC1" w14:textId="20513B35" w:rsidR="00CA1C57" w:rsidRPr="00160F8F" w:rsidRDefault="00CA1C57" w:rsidP="00CA1C57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tabelę</w:t>
      </w:r>
      <w:proofErr w:type="gramEnd"/>
      <w:r w:rsidRPr="00160F8F">
        <w:rPr>
          <w:sz w:val="18"/>
        </w:rPr>
        <w:t xml:space="preserve"> uzgodnień międzybranżowych, podpisaną przez projektantów i sprawdzających wszystkich branż, dołączoną do projektu zagospodarowania terenu.</w:t>
      </w:r>
    </w:p>
    <w:p w14:paraId="105B388C" w14:textId="13D4D1FA" w:rsidR="006A36DF" w:rsidRPr="00160F8F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Każda kolejna wersja dokumentu powstająca w wyniku wprowadzania poprawek powinna być oznaczona kolejnym numerem wersji.</w:t>
      </w:r>
    </w:p>
    <w:p w14:paraId="60514B3B" w14:textId="714A2DB6" w:rsidR="006A36DF" w:rsidRPr="00160F8F" w:rsidRDefault="006A36DF" w:rsidP="006A36DF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Edycja:</w:t>
      </w:r>
    </w:p>
    <w:p w14:paraId="07F66425" w14:textId="77777777" w:rsidR="00CA1C57" w:rsidRPr="00160F8F" w:rsidRDefault="00CA1C57" w:rsidP="00CA1C57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Dokumentacja dostarczana Zamawiającemu winna być opracowane w formie papierowej i w wersji cyfrowej.</w:t>
      </w:r>
    </w:p>
    <w:p w14:paraId="126C8F66" w14:textId="77777777" w:rsidR="00CA1C57" w:rsidRPr="00160F8F" w:rsidRDefault="00CA1C57" w:rsidP="00CA1C57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Forma i zakres dokumentacji musi być zgodna z obowiązującymi przepisami. Ponadto należy spełnić poniższe warunki:</w:t>
      </w:r>
    </w:p>
    <w:p w14:paraId="1EFF2CC6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wszystkie</w:t>
      </w:r>
      <w:proofErr w:type="gramEnd"/>
      <w:r w:rsidRPr="00160F8F">
        <w:rPr>
          <w:sz w:val="18"/>
        </w:rPr>
        <w:t xml:space="preserve"> części opracowania należy sporządzić w czytelnej technice graficznej o jednolitej szacie graficznej dla każdego jego elementu,</w:t>
      </w:r>
    </w:p>
    <w:p w14:paraId="3E655C61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wersję</w:t>
      </w:r>
      <w:proofErr w:type="gramEnd"/>
      <w:r w:rsidRPr="00160F8F">
        <w:rPr>
          <w:sz w:val="18"/>
        </w:rPr>
        <w:t xml:space="preserve"> papierową należy oprawić w okładkę formatu A4, w sposób uniemożliwiający dekompletację projektu,</w:t>
      </w:r>
    </w:p>
    <w:p w14:paraId="5195D4C5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wielkość</w:t>
      </w:r>
      <w:proofErr w:type="gramEnd"/>
      <w:r w:rsidRPr="00160F8F">
        <w:rPr>
          <w:sz w:val="18"/>
        </w:rPr>
        <w:t xml:space="preserve"> arkuszy z rysunkami powinna być zoptymalizowana i złożona do formatu A4; jeżeli zawartość merytoryczna rysunku to umożliwia, należy przygotować rysunki na arkuszach o wysokości strony A4 (H=297mm),</w:t>
      </w:r>
    </w:p>
    <w:p w14:paraId="7C107A1B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wszystkie</w:t>
      </w:r>
      <w:proofErr w:type="gramEnd"/>
      <w:r w:rsidRPr="00160F8F">
        <w:rPr>
          <w:sz w:val="18"/>
        </w:rPr>
        <w:t xml:space="preserve"> rysunki zawierające plan (sytuacja, rzut poziomy) w dokumentacji powinny być zorientowane w sposób identyczny (dla wszystkich części, tomów) i zawierać legendę dostosowaną do treści danego arkusza,</w:t>
      </w:r>
    </w:p>
    <w:p w14:paraId="5E7F75F4" w14:textId="2442CCA6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r w:rsidRPr="00160F8F">
        <w:rPr>
          <w:sz w:val="18"/>
        </w:rPr>
        <w:lastRenderedPageBreak/>
        <w:t xml:space="preserve">dokumentację należy opracować zgodnie z obowiązującymi przepisami, stosując zasady wymiarowania oraz oznaczenia graficzne i literowe określone w Polskich Normach lub inne, objaśnione </w:t>
      </w:r>
      <w:proofErr w:type="gramStart"/>
      <w:r w:rsidRPr="00160F8F">
        <w:rPr>
          <w:sz w:val="18"/>
        </w:rPr>
        <w:t>w  legendzie</w:t>
      </w:r>
      <w:proofErr w:type="gramEnd"/>
      <w:r w:rsidRPr="00160F8F">
        <w:rPr>
          <w:sz w:val="18"/>
        </w:rPr>
        <w:t>.</w:t>
      </w:r>
    </w:p>
    <w:p w14:paraId="0AB9A5EC" w14:textId="40DA73C4" w:rsidR="006A36DF" w:rsidRPr="00160F8F" w:rsidRDefault="006A36DF" w:rsidP="006A36DF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Forma papierowa obejmuje następujący nakład:</w:t>
      </w:r>
    </w:p>
    <w:p w14:paraId="59162D8E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projekt</w:t>
      </w:r>
      <w:proofErr w:type="gramEnd"/>
      <w:r w:rsidRPr="00160F8F">
        <w:rPr>
          <w:sz w:val="18"/>
        </w:rPr>
        <w:t xml:space="preserve"> budowlany – 6 kompletów (w tym 4 komplety składane do właściwych organów z wnioskami o wydanie decyzji o pozwoleniu na budowę),   </w:t>
      </w:r>
    </w:p>
    <w:p w14:paraId="42DE8537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projekt</w:t>
      </w:r>
      <w:proofErr w:type="gramEnd"/>
      <w:r w:rsidRPr="00160F8F">
        <w:rPr>
          <w:sz w:val="18"/>
        </w:rPr>
        <w:t xml:space="preserve"> wykonawczy – 4 komplety,</w:t>
      </w:r>
    </w:p>
    <w:p w14:paraId="16D3B5B7" w14:textId="77777777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przedmiar</w:t>
      </w:r>
      <w:proofErr w:type="gramEnd"/>
      <w:r w:rsidRPr="00160F8F">
        <w:rPr>
          <w:sz w:val="18"/>
        </w:rPr>
        <w:t xml:space="preserve"> z kosztorysem – 2 komplety,</w:t>
      </w:r>
    </w:p>
    <w:p w14:paraId="31D421B1" w14:textId="6D979882" w:rsidR="006A36DF" w:rsidRPr="00160F8F" w:rsidRDefault="006A36DF" w:rsidP="006A36DF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inne</w:t>
      </w:r>
      <w:proofErr w:type="gramEnd"/>
      <w:r w:rsidRPr="00160F8F">
        <w:rPr>
          <w:sz w:val="18"/>
        </w:rPr>
        <w:t xml:space="preserve"> projekty – 2 komplety.</w:t>
      </w:r>
    </w:p>
    <w:p w14:paraId="5D136D95" w14:textId="796FDDFB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Wersja cyfrowa (obejmująca wszystkie elementy dokumentacji) winna być przekazana na płycie CD/DVD w 2 egzemplarzach. Pliki elektroniczne na nośniku cyfrowym należy dostarczyć w formie prezentacyjnej PDF oraz w formacie plików edytowalnych powszechnie stosowanych, takich jak *.</w:t>
      </w:r>
      <w:proofErr w:type="spellStart"/>
      <w:proofErr w:type="gramStart"/>
      <w:r w:rsidRPr="00160F8F">
        <w:rPr>
          <w:sz w:val="18"/>
        </w:rPr>
        <w:t>doc</w:t>
      </w:r>
      <w:proofErr w:type="spellEnd"/>
      <w:proofErr w:type="gramEnd"/>
      <w:r w:rsidRPr="00160F8F">
        <w:rPr>
          <w:sz w:val="18"/>
        </w:rPr>
        <w:t>, *.xls, *.</w:t>
      </w:r>
      <w:proofErr w:type="spellStart"/>
      <w:proofErr w:type="gramStart"/>
      <w:r w:rsidRPr="00160F8F">
        <w:rPr>
          <w:sz w:val="18"/>
        </w:rPr>
        <w:t>dwg</w:t>
      </w:r>
      <w:proofErr w:type="spellEnd"/>
      <w:proofErr w:type="gramEnd"/>
      <w:r w:rsidRPr="00160F8F">
        <w:rPr>
          <w:sz w:val="18"/>
        </w:rPr>
        <w:t>, *.</w:t>
      </w:r>
      <w:proofErr w:type="spellStart"/>
      <w:proofErr w:type="gramStart"/>
      <w:r w:rsidRPr="00160F8F">
        <w:rPr>
          <w:sz w:val="18"/>
        </w:rPr>
        <w:t>png</w:t>
      </w:r>
      <w:proofErr w:type="spellEnd"/>
      <w:proofErr w:type="gramEnd"/>
      <w:r w:rsidRPr="00160F8F">
        <w:rPr>
          <w:sz w:val="18"/>
        </w:rPr>
        <w:t xml:space="preserve"> (dopuszcza się inne formaty plików po akceptacji Zamawiającego). Wersja edytowalna nie dotyczy dokumentów pozyskiwanych przez </w:t>
      </w:r>
      <w:proofErr w:type="gramStart"/>
      <w:r w:rsidRPr="00160F8F">
        <w:rPr>
          <w:sz w:val="18"/>
        </w:rPr>
        <w:t>Wykonawcę                         w</w:t>
      </w:r>
      <w:proofErr w:type="gramEnd"/>
      <w:r w:rsidRPr="00160F8F">
        <w:rPr>
          <w:sz w:val="18"/>
        </w:rPr>
        <w:t xml:space="preserve"> ramach procesu inwestycyjnego, takich jak warunki, uzgodnienia i decyzje wydawane przez inne podmioty, certyfikaty, aprobaty, deklaracje zgodności, itp. </w:t>
      </w:r>
    </w:p>
    <w:p w14:paraId="4D5FD966" w14:textId="77777777" w:rsidR="00C117DA" w:rsidRPr="00160F8F" w:rsidRDefault="00C117DA" w:rsidP="00C117DA">
      <w:pPr>
        <w:pStyle w:val="Akapitzlist"/>
        <w:spacing w:after="0" w:line="324" w:lineRule="auto"/>
        <w:ind w:left="1080"/>
        <w:jc w:val="both"/>
        <w:rPr>
          <w:sz w:val="18"/>
        </w:rPr>
      </w:pPr>
      <w:r w:rsidRPr="00160F8F">
        <w:rPr>
          <w:sz w:val="18"/>
        </w:rPr>
        <w:t>Pliki graficzne typu bitmapa należy zapisać w cyfrowych formatach graficznych bezstratnych.</w:t>
      </w:r>
    </w:p>
    <w:p w14:paraId="712409F3" w14:textId="77777777" w:rsidR="00C117DA" w:rsidRPr="00160F8F" w:rsidRDefault="00C117DA" w:rsidP="00C117DA">
      <w:pPr>
        <w:pStyle w:val="Akapitzlist"/>
        <w:spacing w:after="0" w:line="324" w:lineRule="auto"/>
        <w:ind w:left="1080"/>
        <w:jc w:val="both"/>
      </w:pPr>
      <w:r w:rsidRPr="00160F8F">
        <w:rPr>
          <w:sz w:val="18"/>
        </w:rPr>
        <w:t>Materiały sporządzone w formacie PDF winny umożliwiać kopiowanie, drukowanie lub wydzielenie zawartości dla dostępu, zaś w formatach edytowalnych nie powinny posiadać zabezpieczeń przed edycją. Niedopuszczalne jest przygotowanie plików prezentacyjnych PDF w postaci obrazów graficznych powstałych ze skanów stron papierowych. Natomiast tak przygotowana wersja PDF winna zawierać skany podpisów odpowiadające wersji papierowej</w:t>
      </w:r>
      <w:r w:rsidRPr="00160F8F">
        <w:t>.</w:t>
      </w:r>
    </w:p>
    <w:p w14:paraId="341D4228" w14:textId="13645FBA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Dokumentację wskazaną w powyższych punktach należy przekazać Zamawiającemu we wskazanym wyżej nakładzie po akceptacji dokumentacji przez Zamawiającego. Wersję dokumentacji przedstawianej do akceptacji Zamawiającego, należy przygotować w jednym egzemplarzu obejmującym wersję papierową i cyfrową PDF na nośniku CD/DVD.</w:t>
      </w:r>
    </w:p>
    <w:p w14:paraId="6BC2B66C" w14:textId="56DBE8CC" w:rsidR="006A36DF" w:rsidRPr="00160F8F" w:rsidRDefault="00C117DA" w:rsidP="00C117DA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Projekt budowlany</w:t>
      </w:r>
    </w:p>
    <w:p w14:paraId="3E345C39" w14:textId="48443911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 xml:space="preserve">Projekt budowlany winien opisywać w sposób jednoznaczny wykonanie robót budowlanych. W dokumentacji należy uwzględnić wszelkie </w:t>
      </w:r>
      <w:proofErr w:type="gramStart"/>
      <w:r w:rsidRPr="00160F8F">
        <w:rPr>
          <w:sz w:val="18"/>
        </w:rPr>
        <w:t>zależności                          z</w:t>
      </w:r>
      <w:proofErr w:type="gramEnd"/>
      <w:r w:rsidRPr="00160F8F">
        <w:rPr>
          <w:sz w:val="18"/>
        </w:rPr>
        <w:t xml:space="preserve"> istniejącymi i projektowanymi sieciami oraz przedstawić sposób usunięcia kolizji.</w:t>
      </w:r>
    </w:p>
    <w:p w14:paraId="79C2BEEF" w14:textId="141D8671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 xml:space="preserve">Dla projektu budowlanego należy pozyskać wszelkie decyzje i </w:t>
      </w:r>
      <w:proofErr w:type="gramStart"/>
      <w:r w:rsidRPr="00160F8F">
        <w:rPr>
          <w:sz w:val="18"/>
        </w:rPr>
        <w:t>uzgodnienia,               a</w:t>
      </w:r>
      <w:proofErr w:type="gramEnd"/>
      <w:r w:rsidRPr="00160F8F">
        <w:rPr>
          <w:sz w:val="18"/>
        </w:rPr>
        <w:t xml:space="preserve"> w tym rzeczoznawcy ds. zabezpieczeń przeciwpożarowych, umożliwiające uzyskanie decyzji o zatwierdzeniu dokumentacji i pozwoleniu na budowę.</w:t>
      </w:r>
    </w:p>
    <w:p w14:paraId="3F23DAEC" w14:textId="11501D8B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Jeżeli wydanie decyzji o pozwoleniu na budowę dla obszaru inwestycji znajduje się w kompetencjach więcej niż jednego organu należy dokonać odpowiedniego podziału projektu budowlanego na oddzielne opracowania.</w:t>
      </w:r>
    </w:p>
    <w:p w14:paraId="5D927290" w14:textId="6ACEB16A" w:rsidR="00C117DA" w:rsidRPr="00160F8F" w:rsidRDefault="00C117DA" w:rsidP="00C117DA">
      <w:pPr>
        <w:pStyle w:val="Akapitzlist"/>
        <w:numPr>
          <w:ilvl w:val="1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 xml:space="preserve">W ramach projektu budowlanego Wykonawca zobowiązany jest opracować następujące elementy: </w:t>
      </w:r>
    </w:p>
    <w:p w14:paraId="5641EE8E" w14:textId="722FF215" w:rsidR="00C117DA" w:rsidRPr="00160F8F" w:rsidRDefault="00C117DA" w:rsidP="00C117DA">
      <w:pPr>
        <w:pStyle w:val="Akapitzlist"/>
        <w:numPr>
          <w:ilvl w:val="2"/>
          <w:numId w:val="1"/>
        </w:numPr>
        <w:tabs>
          <w:tab w:val="left" w:pos="1276"/>
        </w:tabs>
        <w:spacing w:after="0" w:line="324" w:lineRule="auto"/>
        <w:jc w:val="both"/>
        <w:rPr>
          <w:sz w:val="18"/>
        </w:rPr>
      </w:pPr>
      <w:r w:rsidRPr="00160F8F">
        <w:rPr>
          <w:sz w:val="18"/>
        </w:rPr>
        <w:t xml:space="preserve">Oświadczenia projektantów i sprawdzających, o których mowa w ustawie Prawo budowlane, zawierające klauzulę, że projekt budowlany jest </w:t>
      </w:r>
      <w:proofErr w:type="gramStart"/>
      <w:r w:rsidRPr="00160F8F">
        <w:rPr>
          <w:sz w:val="18"/>
        </w:rPr>
        <w:t>zgodny                               z</w:t>
      </w:r>
      <w:proofErr w:type="gramEnd"/>
      <w:r w:rsidRPr="00160F8F">
        <w:rPr>
          <w:sz w:val="18"/>
        </w:rPr>
        <w:t xml:space="preserve"> obowiązującymi przepisami, zasadami wiedzy technicznej i kompletny z punktu widzenia celu, któremu ma służyć.</w:t>
      </w:r>
    </w:p>
    <w:p w14:paraId="3A699B2C" w14:textId="7FDC5FA2" w:rsidR="00C117DA" w:rsidRPr="00160F8F" w:rsidRDefault="00C117DA" w:rsidP="00C117DA">
      <w:pPr>
        <w:pStyle w:val="Akapitzlist"/>
        <w:numPr>
          <w:ilvl w:val="2"/>
          <w:numId w:val="1"/>
        </w:numPr>
        <w:tabs>
          <w:tab w:val="left" w:pos="1276"/>
        </w:tabs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Projekt zagospodarowania terenu, sporządzony na aktualnej mapie do celów projektowych, obejmujący m.in.:</w:t>
      </w:r>
    </w:p>
    <w:p w14:paraId="0072BBCF" w14:textId="77777777" w:rsidR="00C117DA" w:rsidRPr="00160F8F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czytelne</w:t>
      </w:r>
      <w:proofErr w:type="gramEnd"/>
      <w:r w:rsidRPr="00160F8F">
        <w:rPr>
          <w:sz w:val="18"/>
        </w:rPr>
        <w:t xml:space="preserve"> określenie granic i nr działek oraz granic obszaru inwestycji,</w:t>
      </w:r>
    </w:p>
    <w:p w14:paraId="4C9B98FD" w14:textId="77777777" w:rsidR="00C117DA" w:rsidRPr="00160F8F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usytuowanie</w:t>
      </w:r>
      <w:proofErr w:type="gramEnd"/>
      <w:r w:rsidRPr="00160F8F">
        <w:rPr>
          <w:sz w:val="18"/>
        </w:rPr>
        <w:t>, obrys i układy istniejących i projektowanych obiektów budowlanych, sposób odprowadzania lub oczyszczania ścieków,</w:t>
      </w:r>
    </w:p>
    <w:p w14:paraId="084902DF" w14:textId="77777777" w:rsidR="00C117DA" w:rsidRPr="00160F8F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czytelne</w:t>
      </w:r>
      <w:proofErr w:type="gramEnd"/>
      <w:r w:rsidRPr="00160F8F">
        <w:rPr>
          <w:sz w:val="18"/>
        </w:rPr>
        <w:t xml:space="preserve"> oznaczenie sieci uzbrojenia terenu, istniejących i projektowanych – w tym hydrantów zewnętrznych,</w:t>
      </w:r>
    </w:p>
    <w:p w14:paraId="73FFE599" w14:textId="77777777" w:rsidR="00C117DA" w:rsidRPr="00160F8F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proofErr w:type="gramStart"/>
      <w:r w:rsidRPr="00160F8F">
        <w:rPr>
          <w:sz w:val="18"/>
        </w:rPr>
        <w:t>układ</w:t>
      </w:r>
      <w:proofErr w:type="gramEnd"/>
      <w:r w:rsidRPr="00160F8F">
        <w:rPr>
          <w:sz w:val="18"/>
        </w:rPr>
        <w:t xml:space="preserve"> komunikacyjny i układ zieleni,</w:t>
      </w:r>
    </w:p>
    <w:p w14:paraId="3B180E73" w14:textId="77777777" w:rsidR="00C117DA" w:rsidRPr="00160F8F" w:rsidRDefault="00C117DA" w:rsidP="00C117DA">
      <w:pPr>
        <w:pStyle w:val="Akapitzlist"/>
        <w:numPr>
          <w:ilvl w:val="0"/>
          <w:numId w:val="25"/>
        </w:numPr>
        <w:jc w:val="both"/>
        <w:rPr>
          <w:sz w:val="18"/>
        </w:rPr>
      </w:pPr>
      <w:r w:rsidRPr="00160F8F">
        <w:rPr>
          <w:sz w:val="18"/>
        </w:rPr>
        <w:t xml:space="preserve">wskazanie charakterystycznych elementów, wymiarów, </w:t>
      </w:r>
      <w:proofErr w:type="gramStart"/>
      <w:r w:rsidRPr="00160F8F">
        <w:rPr>
          <w:sz w:val="18"/>
        </w:rPr>
        <w:t>rzędnych                                   i</w:t>
      </w:r>
      <w:proofErr w:type="gramEnd"/>
      <w:r w:rsidRPr="00160F8F">
        <w:rPr>
          <w:sz w:val="18"/>
        </w:rPr>
        <w:t xml:space="preserve"> wzajemnych odległości obiektów, w nawiązaniu do istniejącej i projektowanej zabudowy terenów sąsiednich.</w:t>
      </w:r>
    </w:p>
    <w:p w14:paraId="24EF32F6" w14:textId="22BADA10" w:rsidR="00C117DA" w:rsidRPr="00160F8F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lastRenderedPageBreak/>
        <w:t>Inwentaryzacja obiektu (terenu, budowli, uzbrojenia terenu) w zakresie niezbędnym dla opracowania projektu budowlanego.</w:t>
      </w:r>
    </w:p>
    <w:p w14:paraId="0782D166" w14:textId="1ADA156B" w:rsidR="00C117DA" w:rsidRPr="00160F8F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Ekspertyza techniczna o możliwości przebudowy.</w:t>
      </w:r>
    </w:p>
    <w:p w14:paraId="40A7FB37" w14:textId="13B08613" w:rsidR="00C117DA" w:rsidRPr="00160F8F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Zbiór (wraz z czytelnym zestawieniem) wszystkich niezbędnych warunków opinii, uzgodnień, pozwoleń i innych dokumentów, wymaganych przepisami szczególnymi.</w:t>
      </w:r>
    </w:p>
    <w:p w14:paraId="075D3990" w14:textId="587D5BA3" w:rsidR="00C117DA" w:rsidRPr="00160F8F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>Projekt architektoniczno-budowlany wraz z warunkami geotechnicznymi posadowienia obiektów budowlanych, zawierający opis techniczny i część rysunkową wynikającą z projektowanego zakresu przebudowy.</w:t>
      </w:r>
    </w:p>
    <w:p w14:paraId="1E75EEDB" w14:textId="5F34D2C8" w:rsidR="00C117DA" w:rsidRPr="00160F8F" w:rsidRDefault="00C117DA" w:rsidP="00C117DA">
      <w:pPr>
        <w:pStyle w:val="Akapitzlist"/>
        <w:numPr>
          <w:ilvl w:val="2"/>
          <w:numId w:val="1"/>
        </w:numPr>
        <w:spacing w:after="0" w:line="324" w:lineRule="auto"/>
        <w:jc w:val="both"/>
        <w:rPr>
          <w:sz w:val="18"/>
        </w:rPr>
      </w:pPr>
      <w:r w:rsidRPr="00160F8F">
        <w:rPr>
          <w:sz w:val="18"/>
        </w:rPr>
        <w:t xml:space="preserve">Informacja dotyczącą bezpieczeństwa i ochrony zdrowia. </w:t>
      </w:r>
    </w:p>
    <w:p w14:paraId="3F7DD1DC" w14:textId="77777777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Projekty wykonawcze</w:t>
      </w:r>
    </w:p>
    <w:p w14:paraId="08871C46" w14:textId="0852AAE9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Projekty wykonawcze powinny być uzupełnieniem i uszczegółowieniem projektu budowlanego oraz zawierać szczegółowe informacje i rozwiązania techniczne dotyczące robót budowlanych. Powinny one uwzględniać niezbędne fazowanie, technologię oraz plan robót. Projekty wykonawcze należy przygotować w oddzielnych tomach (częściach) zawierających branżę (specjalizacje) budowlane. Daną specjalizację budowalną można również podzielić na kolejne części, jeżeli służy to czytelności projektu i usprawiedliwieniu późniejszego wykonania robót budowlanych, np. poprzez podział na poszczególne obiekty. Poszczególne branże muszą zachowywać spójność rozwiązań i zapewniać spełnienie wszystkich wymagań technicznych i technologicznych. </w:t>
      </w:r>
    </w:p>
    <w:p w14:paraId="41BB603B" w14:textId="0477AA58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Pozwolenie na budowę</w:t>
      </w:r>
    </w:p>
    <w:p w14:paraId="1DA5F0D3" w14:textId="77777777" w:rsidR="00BA7937" w:rsidRPr="00160F8F" w:rsidRDefault="00BA7937" w:rsidP="00BA7937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Do obowiązków Wykonawcy należeć będzie złożenie do właściwego organu (lub organów) administracji architektoniczno-budowlanej kompletnego, poprawnego pod względem formalnym wniosku o pozwolenie na budowę.</w:t>
      </w:r>
    </w:p>
    <w:p w14:paraId="770F5337" w14:textId="6A642831" w:rsidR="00BA7937" w:rsidRPr="00160F8F" w:rsidRDefault="00BA7937" w:rsidP="00BA7937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W przypadku zgłaszania uwag przez organ, Wykonawca po uzgodnieniu z Zamawiającym zobowiązany jest uzupełnić lub wprowadzić zmiany do dokumentacji.</w:t>
      </w:r>
    </w:p>
    <w:p w14:paraId="1F66D73D" w14:textId="40AFE219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Inne projekty specjalistyczne</w:t>
      </w:r>
    </w:p>
    <w:p w14:paraId="2A1B6980" w14:textId="77777777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Wykonawca zrealizuje wszelkie niezbędne projekty takie jak: projekt robót przygotowawczych, projekt organizacji i technologii robót, projekt organizacji ruchu drogowego lub/i pieszego na czas zamknięcia przejazdów kolejowych i przejść przez tory oraz dojść do peronu, projekty zabezpieczenia kolizji z urządzeniami infrastruktury podziemnej, opracowania służące Wykonawcy do poprowadzenia robót, opracowania służące Zamawiającemu do kontroli robót i odbiorów, itp. </w:t>
      </w:r>
    </w:p>
    <w:p w14:paraId="78AB24B8" w14:textId="77777777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Projekty powinny posiadać wszelkie wymagane uzgodnienia wraz z ich zatwierdzeniem. Wykonawca dostarczy Zamawiającemu dokumentację niezbędną do przeprowadzenia przez Zamawiającego procesu oceny ryzyka związanego z realizacją zadania – zgodnie z wymogami określonymi w Rozporządzeniu Wykonawczym Komisji (UE) nr 402/2013 z dnia 30 kwietnia 2013 r. w sprawie wspólnej metody oceny bezpieczeństwa w zakresie wyceny i oceny ryzyka i uchylające rozporządzenie (WE) nr 352/2009 (Dz. Urz. UE L 121 z 03.05.2013 </w:t>
      </w:r>
      <w:proofErr w:type="gramStart"/>
      <w:r w:rsidRPr="00160F8F">
        <w:rPr>
          <w:sz w:val="18"/>
        </w:rPr>
        <w:t>r</w:t>
      </w:r>
      <w:proofErr w:type="gramEnd"/>
      <w:r w:rsidRPr="00160F8F">
        <w:rPr>
          <w:sz w:val="18"/>
        </w:rPr>
        <w:t xml:space="preserve">.). </w:t>
      </w:r>
    </w:p>
    <w:p w14:paraId="11AA69F9" w14:textId="77777777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Przedmiar robót i kosztorys inwestorski</w:t>
      </w:r>
    </w:p>
    <w:p w14:paraId="51B01DD8" w14:textId="77777777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Przedmiar robót i kosztorys inwestorski należy wykonać zgodnie z obowiązującymi przepisami. Przedmiar robót powinien być rzetelnym opisem robót pokazanych na rysunkach projektu budowlanego i wykonawczego. Powinien również stanowić opis odnoszący się do technologicznej kolejności wykonania robót budowlanych. </w:t>
      </w:r>
    </w:p>
    <w:p w14:paraId="6C75BDA2" w14:textId="77777777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Kosztorys inwestorski powinien zawierać: wartość kosztorysową, tabelę elementów scalonych, zestawienia materiałowe, sprzętowe, robocizny, kosztorys uproszczony, kalkulacje szczegółowe. Opracowanie należy wykonać z wydzieleniem oddzielnych branż, obiektów itp. odpowiadających podziałowi projektu wykonawczego. Kosztorys powinien zawierać krótki opis inwestycji i założenia wyjściowe do kosztorysowania. Założenia wyjściowe przygotuje Projektant po konsultacji z Zamawiającym.  </w:t>
      </w:r>
    </w:p>
    <w:p w14:paraId="17776256" w14:textId="77777777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Specyfikacje techniczne wykonania i odbioru robót budowlanych należy wykonać zgodnie z obowiązującymi przepisami. Specyfikacje techniczne wykonania i odbioru robót budowlanych powinny jednoznacznie odnosić się do wszelkich robót wykonywanych w ramach zadania. Każdy ujęty aspekt </w:t>
      </w:r>
      <w:proofErr w:type="gramStart"/>
      <w:r w:rsidRPr="00160F8F">
        <w:rPr>
          <w:sz w:val="18"/>
        </w:rPr>
        <w:t>taki jak: jakość</w:t>
      </w:r>
      <w:proofErr w:type="gramEnd"/>
      <w:r w:rsidRPr="00160F8F">
        <w:rPr>
          <w:sz w:val="18"/>
        </w:rPr>
        <w:t xml:space="preserve"> robót, kontrola robót, warunki technologiczne, warunki odbiorów i inne, powinien być zapisany w oddzielnym rozdziale (podrozdziale) opracowania. Natomiast w specyfikacjach technicznych nie należy zawierać warunków płatności – te zostaną ustalone w sposób jednoznaczny w projekcie umowy na realizację robót przez Zamawiającego. Specyfikacje techniczne również powinny ściśle odpowiadać przedmiarom robót. </w:t>
      </w:r>
    </w:p>
    <w:p w14:paraId="4907DAD2" w14:textId="77777777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Inwentaryzacja zieleni </w:t>
      </w:r>
    </w:p>
    <w:p w14:paraId="3681BC23" w14:textId="0EF2A89D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Dla planowanego obszaru inwestycji nie została wykonana inwentaryzacja zieleni. Wykonanie inwentaryzacji oraz określenie zakresu wycinki będzie należało do obowiązków Wykonawcy. Inwentaryzację drzew i krzewów należy objąć cały obszar inwestycji (obszar dokładnie zostanie zdefiniowany w dokumentacji) oraz tereny przyległe do linii kolejowej. Usunięciu będą podlegały drzewa i krzewy znajdujące się w kolizji z inwestycją oraz znajdujące się </w:t>
      </w:r>
      <w:proofErr w:type="gramStart"/>
      <w:r w:rsidRPr="00160F8F">
        <w:rPr>
          <w:sz w:val="18"/>
        </w:rPr>
        <w:t xml:space="preserve">w  </w:t>
      </w:r>
      <w:r w:rsidRPr="00160F8F">
        <w:rPr>
          <w:sz w:val="18"/>
        </w:rPr>
        <w:lastRenderedPageBreak/>
        <w:t>nieprzepisowych</w:t>
      </w:r>
      <w:proofErr w:type="gramEnd"/>
      <w:r w:rsidRPr="00160F8F">
        <w:rPr>
          <w:sz w:val="18"/>
        </w:rPr>
        <w:t xml:space="preserve"> odległościach względem torów i obszaru kolejowego. Wykonawca winien założyć, że (ze względu na prawdopodobne kolizje oraz braku spełnienia przepisowych odległości) roboty związane z wcinką będą konieczne. Należy również założyć konieczność dokonania </w:t>
      </w:r>
      <w:proofErr w:type="spellStart"/>
      <w:r w:rsidRPr="00160F8F">
        <w:rPr>
          <w:sz w:val="18"/>
        </w:rPr>
        <w:t>nasadzeń</w:t>
      </w:r>
      <w:proofErr w:type="spellEnd"/>
      <w:r w:rsidRPr="00160F8F">
        <w:rPr>
          <w:sz w:val="18"/>
        </w:rPr>
        <w:t xml:space="preserve"> zastępczych lub pokrycia kosztów odszkodowań, wskazanych przez właściwe organy. Warunki wycinki należy uzgodnić z PKP S.A. </w:t>
      </w:r>
    </w:p>
    <w:p w14:paraId="4D7ECCAD" w14:textId="28DB4FB1" w:rsidR="00C117DA" w:rsidRPr="00160F8F" w:rsidRDefault="00C117DA" w:rsidP="00C117DA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Akceptacja projektu budowlanego:</w:t>
      </w:r>
    </w:p>
    <w:p w14:paraId="07B800AA" w14:textId="1A6FA071" w:rsidR="00C117DA" w:rsidRPr="00160F8F" w:rsidRDefault="00C117DA" w:rsidP="00C117DA">
      <w:pPr>
        <w:pStyle w:val="Akapitzlist"/>
        <w:jc w:val="both"/>
        <w:rPr>
          <w:sz w:val="18"/>
        </w:rPr>
      </w:pPr>
      <w:r w:rsidRPr="00160F8F">
        <w:rPr>
          <w:sz w:val="18"/>
        </w:rPr>
        <w:t>Projekt budowlany winien zostać przedłożony Zamawiającemu celem uzgodnienia. Uzyskane uzgodnienie będzie warunkiem podjęcia kolejnych czynności związanych z realizacją umowy – tj. sporządzenie i złożenie wniosku o pozwolenie na budowę oraz wykonanie dalszych opracowań projektowych.</w:t>
      </w:r>
    </w:p>
    <w:p w14:paraId="698C9A7C" w14:textId="3474A596" w:rsidR="00BE2106" w:rsidRPr="00160F8F" w:rsidRDefault="00BE2106" w:rsidP="00BE2106">
      <w:pPr>
        <w:pStyle w:val="Akapitzlist"/>
        <w:jc w:val="both"/>
        <w:rPr>
          <w:sz w:val="18"/>
        </w:rPr>
      </w:pPr>
      <w:r w:rsidRPr="00160F8F">
        <w:rPr>
          <w:sz w:val="18"/>
        </w:rPr>
        <w:t>Odbiór dokumentacji przeprowadza Zespół powoływany przez Zamawiającego.</w:t>
      </w:r>
    </w:p>
    <w:p w14:paraId="476ADC27" w14:textId="59C53A6D" w:rsidR="00BE2106" w:rsidRPr="00160F8F" w:rsidRDefault="00BE2106" w:rsidP="00BE2106">
      <w:pPr>
        <w:pStyle w:val="Akapitzlist"/>
        <w:jc w:val="both"/>
        <w:rPr>
          <w:sz w:val="18"/>
        </w:rPr>
      </w:pPr>
      <w:r w:rsidRPr="00160F8F">
        <w:rPr>
          <w:sz w:val="18"/>
        </w:rPr>
        <w:t xml:space="preserve">Odbiór dokumentacji polega każdorazowo przede wszystkim na </w:t>
      </w:r>
      <w:proofErr w:type="gramStart"/>
      <w:r w:rsidRPr="00160F8F">
        <w:rPr>
          <w:sz w:val="18"/>
        </w:rPr>
        <w:t>merytorycznej,                      a</w:t>
      </w:r>
      <w:proofErr w:type="gramEnd"/>
      <w:r w:rsidRPr="00160F8F">
        <w:rPr>
          <w:sz w:val="18"/>
        </w:rPr>
        <w:t xml:space="preserve"> następnie ilościowej ocenie danego rodzaju dokumentacji. Po pozytywnej weryfikacji, dokumentacja podlega przyjęciu przez Zamawiającego.</w:t>
      </w:r>
    </w:p>
    <w:p w14:paraId="604D3C56" w14:textId="77777777" w:rsidR="00BA7937" w:rsidRPr="00160F8F" w:rsidRDefault="00BA7937" w:rsidP="00BA7937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Odbiór dokumentacji</w:t>
      </w:r>
    </w:p>
    <w:p w14:paraId="7E5F5A76" w14:textId="604B47CF" w:rsidR="00BA7937" w:rsidRPr="00160F8F" w:rsidRDefault="00BA7937" w:rsidP="00BA7937">
      <w:pPr>
        <w:pStyle w:val="Akapitzlist"/>
        <w:jc w:val="both"/>
        <w:rPr>
          <w:sz w:val="18"/>
        </w:rPr>
      </w:pPr>
      <w:r w:rsidRPr="00160F8F">
        <w:rPr>
          <w:sz w:val="18"/>
        </w:rPr>
        <w:t>Odbiór dokumentacji przeprowadza Zespół powoływany przez Zamawiającego. Odbiór dokumentacji polega każdorazowo przede wszystkim na merytorycznej, a następnie ilościowej ocenie danego rodzaju dokumentacji. Po pozytywnej weryfikacji, dokumentacja podlega przyjęciu przez Zamawiającego.</w:t>
      </w:r>
    </w:p>
    <w:p w14:paraId="5E646232" w14:textId="0620675A" w:rsidR="00C117DA" w:rsidRPr="00160F8F" w:rsidRDefault="00C117DA" w:rsidP="00C117DA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Pozwolenie na budowę</w:t>
      </w:r>
    </w:p>
    <w:p w14:paraId="7AE30320" w14:textId="59EE00CC" w:rsidR="00C117DA" w:rsidRPr="00160F8F" w:rsidRDefault="00C117DA" w:rsidP="00C117DA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Do obowiązków Wykonawcy należeć będzie złożenie do właściwego organu (lub organów) administracji architektoniczno-budowlanej kompletnego, poprawnego pod względem formalnym wniosku o pozwolenie na budowę.</w:t>
      </w:r>
    </w:p>
    <w:p w14:paraId="71FBE2C0" w14:textId="5391B3F0" w:rsidR="00C117DA" w:rsidRPr="00160F8F" w:rsidRDefault="00C117DA" w:rsidP="00C117DA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 xml:space="preserve">W przypadku zgłaszania uwag przez organ, Wykonawca po </w:t>
      </w:r>
      <w:proofErr w:type="gramStart"/>
      <w:r w:rsidRPr="00160F8F">
        <w:rPr>
          <w:sz w:val="18"/>
        </w:rPr>
        <w:t>uzgodnieniu                             z</w:t>
      </w:r>
      <w:proofErr w:type="gramEnd"/>
      <w:r w:rsidRPr="00160F8F">
        <w:rPr>
          <w:sz w:val="18"/>
        </w:rPr>
        <w:t xml:space="preserve"> Zamawiającym zobowiązany jest uzupełnić lub wprowadzić zmiany do dokumentacji.</w:t>
      </w:r>
    </w:p>
    <w:p w14:paraId="481DEB79" w14:textId="77777777" w:rsidR="00884BB3" w:rsidRPr="00160F8F" w:rsidRDefault="00884BB3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 xml:space="preserve">Szczegółowy zakres prac w etapie inwestycyjnym </w:t>
      </w:r>
    </w:p>
    <w:p w14:paraId="17B0EAFC" w14:textId="00FFD955" w:rsidR="00884BB3" w:rsidRPr="00160F8F" w:rsidRDefault="00884BB3" w:rsidP="00884BB3">
      <w:pPr>
        <w:pStyle w:val="Akapitzlist"/>
        <w:numPr>
          <w:ilvl w:val="1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Nadzór autorski</w:t>
      </w:r>
    </w:p>
    <w:p w14:paraId="09E44E6C" w14:textId="17FC2AC3" w:rsidR="00884BB3" w:rsidRPr="00160F8F" w:rsidRDefault="00884BB3" w:rsidP="00884BB3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>Nadzór autorski będzie pełniony w trakcie realizacji inwestycji. Czynności wykonywane w ramach nadzoru autorskiego obejmują:</w:t>
      </w:r>
    </w:p>
    <w:p w14:paraId="0085F68C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potwierdzanie</w:t>
      </w:r>
      <w:proofErr w:type="gramEnd"/>
      <w:r w:rsidRPr="00160F8F">
        <w:rPr>
          <w:sz w:val="18"/>
        </w:rPr>
        <w:t xml:space="preserve"> w toku wykonywanych robót budowlanych zgodności robót budowlanych z opracowaną dokumentacją projektową,</w:t>
      </w:r>
    </w:p>
    <w:p w14:paraId="2E5010D5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kwalifikacja</w:t>
      </w:r>
      <w:proofErr w:type="gramEnd"/>
      <w:r w:rsidRPr="00160F8F">
        <w:rPr>
          <w:sz w:val="18"/>
        </w:rPr>
        <w:t xml:space="preserve"> zmian koniecznych do wprowadzenia do dokumentacji projektowej w świetle zatwierdzonego projektu budowlanego,</w:t>
      </w:r>
    </w:p>
    <w:p w14:paraId="50A28928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160F8F">
        <w:rPr>
          <w:sz w:val="18"/>
        </w:rPr>
        <w:t xml:space="preserve">wyjaśnianie wątpliwości dotyczących opracowanej dokumentacji projektowej i </w:t>
      </w:r>
      <w:proofErr w:type="gramStart"/>
      <w:r w:rsidRPr="00160F8F">
        <w:rPr>
          <w:sz w:val="18"/>
        </w:rPr>
        <w:t>zawartych                w</w:t>
      </w:r>
      <w:proofErr w:type="gramEnd"/>
      <w:r w:rsidRPr="00160F8F">
        <w:rPr>
          <w:sz w:val="18"/>
        </w:rPr>
        <w:t xml:space="preserve"> niej rozwiązań,</w:t>
      </w:r>
    </w:p>
    <w:p w14:paraId="06749758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160F8F">
        <w:rPr>
          <w:sz w:val="18"/>
        </w:rPr>
        <w:t xml:space="preserve">uzupełnianie szczegółów w opracowanej dokumentacji projektowej, których brak uniemożliwia wykonanie robót lub wykonanie w sposób jednoznaczny, nie będących jednocześnie projektami: warsztatowymi, technologicznymi, organizacyjnymi, wewnętrznych urządzeń elektrotechnicznych, innymi niż </w:t>
      </w:r>
      <w:proofErr w:type="gramStart"/>
      <w:r w:rsidRPr="00160F8F">
        <w:rPr>
          <w:sz w:val="18"/>
        </w:rPr>
        <w:t>wykonawcze  itp</w:t>
      </w:r>
      <w:proofErr w:type="gramEnd"/>
      <w:r w:rsidRPr="00160F8F">
        <w:rPr>
          <w:sz w:val="18"/>
        </w:rPr>
        <w:t>., wraz z potwierdzeniem przez projektanta w dokumentacji powykonawczej i w dokumentach budowy,</w:t>
      </w:r>
    </w:p>
    <w:p w14:paraId="41DEB1A2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udział</w:t>
      </w:r>
      <w:proofErr w:type="gramEnd"/>
      <w:r w:rsidRPr="00160F8F">
        <w:rPr>
          <w:sz w:val="18"/>
        </w:rPr>
        <w:t xml:space="preserve"> w spotkaniach, radach budowy, komisji przekazania obiektu do użytkowania, odbiorach robót budowlanych, naradach koordynacyjnych z innymi inwestycjami itp. Wymagany przez Zamawiającego udział Projektanta spotkaniach dotyczących budowy nie częściej niż 1 raz w tygodniu.</w:t>
      </w:r>
    </w:p>
    <w:p w14:paraId="400128A0" w14:textId="57FB9C0B" w:rsidR="00884BB3" w:rsidRPr="00160F8F" w:rsidRDefault="00884BB3" w:rsidP="00884BB3">
      <w:pPr>
        <w:pStyle w:val="Akapitzlist"/>
        <w:numPr>
          <w:ilvl w:val="1"/>
          <w:numId w:val="1"/>
        </w:numPr>
        <w:jc w:val="both"/>
        <w:rPr>
          <w:sz w:val="18"/>
        </w:rPr>
      </w:pPr>
      <w:r w:rsidRPr="00160F8F">
        <w:rPr>
          <w:sz w:val="18"/>
        </w:rPr>
        <w:t>Usługi projektowe w trakcie przygotowania do inwestycji i podczas prowadzenia robót budowlanych</w:t>
      </w:r>
    </w:p>
    <w:p w14:paraId="07F3DA5E" w14:textId="77777777" w:rsidR="00884BB3" w:rsidRPr="00160F8F" w:rsidRDefault="00884BB3" w:rsidP="00884BB3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 xml:space="preserve">Obsługa projektowa obejmuje czynności </w:t>
      </w:r>
      <w:proofErr w:type="gramStart"/>
      <w:r w:rsidRPr="00160F8F">
        <w:rPr>
          <w:sz w:val="18"/>
        </w:rPr>
        <w:t>nie wchodzące</w:t>
      </w:r>
      <w:proofErr w:type="gramEnd"/>
      <w:r w:rsidRPr="00160F8F">
        <w:rPr>
          <w:sz w:val="18"/>
        </w:rPr>
        <w:t xml:space="preserve"> w zakres nadzoru autorskiego. W jej zakresie przewidziane są zadania:</w:t>
      </w:r>
    </w:p>
    <w:p w14:paraId="310D0A50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realizacja</w:t>
      </w:r>
      <w:proofErr w:type="gramEnd"/>
      <w:r w:rsidRPr="00160F8F">
        <w:rPr>
          <w:sz w:val="18"/>
        </w:rPr>
        <w:t xml:space="preserve"> czynności konsultacyjnych,</w:t>
      </w:r>
    </w:p>
    <w:p w14:paraId="5C516173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wykonanie</w:t>
      </w:r>
      <w:proofErr w:type="gramEnd"/>
      <w:r w:rsidRPr="00160F8F">
        <w:rPr>
          <w:sz w:val="18"/>
        </w:rPr>
        <w:t xml:space="preserve"> ekspertyz do projektu,</w:t>
      </w:r>
    </w:p>
    <w:p w14:paraId="39145012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udzielanie</w:t>
      </w:r>
      <w:proofErr w:type="gramEnd"/>
      <w:r w:rsidRPr="00160F8F">
        <w:rPr>
          <w:sz w:val="18"/>
        </w:rPr>
        <w:t xml:space="preserve"> odpowiedzi na pytania wykonawców składane w postępowaniu przetargowym na wykonanie robót budowlanych,</w:t>
      </w:r>
    </w:p>
    <w:p w14:paraId="5B508D77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uzgadnianie</w:t>
      </w:r>
      <w:proofErr w:type="gramEnd"/>
      <w:r w:rsidRPr="00160F8F">
        <w:rPr>
          <w:sz w:val="18"/>
        </w:rPr>
        <w:t xml:space="preserve"> i zatwierdzanie rozwiązań technologicznych, warsztatowych, organizacyjnych itp., dla których obowiązek uzgodnienia i zatwierdzenia przez Projektanta został wskazany w dokumentacji projektowej,</w:t>
      </w:r>
    </w:p>
    <w:p w14:paraId="3C5000A6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realizacja</w:t>
      </w:r>
      <w:proofErr w:type="gramEnd"/>
      <w:r w:rsidRPr="00160F8F">
        <w:rPr>
          <w:sz w:val="18"/>
        </w:rPr>
        <w:t xml:space="preserve"> zadań projektowych i uzgodnieniowych w zakresie rozwiązań dodatkowych i zamiennych niezbędnych do wykonania inwestycji i wynikających z niepełnej inwentaryzacji stanu istniejącego,</w:t>
      </w:r>
    </w:p>
    <w:p w14:paraId="6435A1CA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sprawdzenie</w:t>
      </w:r>
      <w:proofErr w:type="gramEnd"/>
      <w:r w:rsidRPr="00160F8F">
        <w:rPr>
          <w:sz w:val="18"/>
        </w:rPr>
        <w:t xml:space="preserve"> pod względem aktualności przepisów dokumentacji projektowej wykonanej w etapie I wraz z odpowiednią aktualizacją tej dokumentacji,</w:t>
      </w:r>
    </w:p>
    <w:p w14:paraId="788CB924" w14:textId="31C69B89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160F8F">
        <w:rPr>
          <w:sz w:val="18"/>
        </w:rPr>
        <w:t xml:space="preserve">pozyskanie warunków technicznych, uzgodnień oraz decyzji o zatwierdzeniu dokumentacji i pozwoleniu na budowę w przypadku wygaśnięcia ważności </w:t>
      </w:r>
      <w:proofErr w:type="gramStart"/>
      <w:r w:rsidRPr="00160F8F">
        <w:rPr>
          <w:sz w:val="18"/>
        </w:rPr>
        <w:t>terminu na jaki</w:t>
      </w:r>
      <w:proofErr w:type="gramEnd"/>
      <w:r w:rsidRPr="00160F8F">
        <w:rPr>
          <w:sz w:val="18"/>
        </w:rPr>
        <w:t xml:space="preserve"> zostały wydane,</w:t>
      </w:r>
    </w:p>
    <w:p w14:paraId="2B49B03C" w14:textId="2B2751F9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lastRenderedPageBreak/>
        <w:t>do</w:t>
      </w:r>
      <w:proofErr w:type="gramEnd"/>
      <w:r w:rsidRPr="00160F8F">
        <w:rPr>
          <w:sz w:val="18"/>
        </w:rPr>
        <w:t xml:space="preserve"> zakresu prac w etapie inwestycyjnym należy również dokonanie wymaganych zapisów o potwierdzeń zmian przez projektanta w dokumentacji powykonawczej i dokumentach budowy, wynikających z pełnienia czynności nadzoru autorskiego/usług projektowych.</w:t>
      </w:r>
    </w:p>
    <w:p w14:paraId="5B66354D" w14:textId="195E8DA5" w:rsidR="00884BB3" w:rsidRPr="00160F8F" w:rsidRDefault="00884BB3" w:rsidP="00884BB3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proofErr w:type="gramStart"/>
      <w:r w:rsidRPr="00160F8F">
        <w:rPr>
          <w:b/>
          <w:sz w:val="18"/>
        </w:rPr>
        <w:t>Gwarancja jakości</w:t>
      </w:r>
      <w:proofErr w:type="gramEnd"/>
    </w:p>
    <w:p w14:paraId="30F83A8F" w14:textId="77777777" w:rsidR="00884BB3" w:rsidRPr="00160F8F" w:rsidRDefault="00884BB3" w:rsidP="00884BB3">
      <w:pPr>
        <w:pStyle w:val="Akapitzlist"/>
        <w:ind w:left="1080"/>
        <w:jc w:val="both"/>
        <w:rPr>
          <w:sz w:val="18"/>
        </w:rPr>
      </w:pPr>
      <w:r w:rsidRPr="00160F8F">
        <w:rPr>
          <w:sz w:val="18"/>
        </w:rPr>
        <w:t xml:space="preserve">Zamawiający wymaga objęcia przedmiotu zamówienia przez Wykonawcę </w:t>
      </w:r>
      <w:proofErr w:type="gramStart"/>
      <w:r w:rsidRPr="00160F8F">
        <w:rPr>
          <w:sz w:val="18"/>
        </w:rPr>
        <w:t>gwarancją jakości</w:t>
      </w:r>
      <w:proofErr w:type="gramEnd"/>
      <w:r w:rsidRPr="00160F8F">
        <w:rPr>
          <w:sz w:val="18"/>
        </w:rPr>
        <w:t xml:space="preserve">, obowiązującą przez okres wskazany w umowie. </w:t>
      </w:r>
      <w:proofErr w:type="gramStart"/>
      <w:r w:rsidRPr="00160F8F">
        <w:rPr>
          <w:sz w:val="18"/>
        </w:rPr>
        <w:t>Gwarancja jakości</w:t>
      </w:r>
      <w:proofErr w:type="gramEnd"/>
      <w:r w:rsidRPr="00160F8F">
        <w:rPr>
          <w:sz w:val="18"/>
        </w:rPr>
        <w:t xml:space="preserve"> zobowiązuje Wykonawcę do usunięcia wszelkich wad, błędów i usterek ujawnionych w okresie gwarancji na własny koszt Wykonawcy, w szczególności do:</w:t>
      </w:r>
    </w:p>
    <w:p w14:paraId="3DEB5B96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wykonania</w:t>
      </w:r>
      <w:proofErr w:type="gramEnd"/>
      <w:r w:rsidRPr="00160F8F">
        <w:rPr>
          <w:sz w:val="18"/>
        </w:rPr>
        <w:t xml:space="preserve"> zadań projektowych wynikających z naprawienia błędu w dokumentacji,</w:t>
      </w:r>
    </w:p>
    <w:p w14:paraId="092568F4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wykonania</w:t>
      </w:r>
      <w:proofErr w:type="gramEnd"/>
      <w:r w:rsidRPr="00160F8F">
        <w:rPr>
          <w:sz w:val="18"/>
        </w:rPr>
        <w:t xml:space="preserve"> zadań projektowych wynikających z korekty rozbieżnych lub niespójnych rozwiązań w poszczególnych częściach dokumentacji (w tym międzybranżowych),</w:t>
      </w:r>
    </w:p>
    <w:p w14:paraId="7B381BD9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dokonania</w:t>
      </w:r>
      <w:proofErr w:type="gramEnd"/>
      <w:r w:rsidRPr="00160F8F">
        <w:rPr>
          <w:sz w:val="18"/>
        </w:rPr>
        <w:t xml:space="preserve"> zmian w dokumentacji z powodu zaprojektowania niezgodnie z przepisami i wytycznymi lub uzgodnieniami dokumentacji,</w:t>
      </w:r>
    </w:p>
    <w:p w14:paraId="3291516A" w14:textId="77777777" w:rsidR="00884BB3" w:rsidRPr="00160F8F" w:rsidRDefault="00884BB3" w:rsidP="00884BB3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dokonania</w:t>
      </w:r>
      <w:proofErr w:type="gramEnd"/>
      <w:r w:rsidRPr="00160F8F">
        <w:rPr>
          <w:sz w:val="18"/>
        </w:rPr>
        <w:t xml:space="preserve"> uzupełnień w dokumentacji, będących brakami stanowiącymi o niekompletności dokumentacji.</w:t>
      </w:r>
    </w:p>
    <w:p w14:paraId="5B6CA0B9" w14:textId="68EF10F8" w:rsidR="00884BB3" w:rsidRPr="00160F8F" w:rsidRDefault="004B63A6" w:rsidP="004B63A6">
      <w:pPr>
        <w:pStyle w:val="Akapitzlist"/>
        <w:numPr>
          <w:ilvl w:val="0"/>
          <w:numId w:val="1"/>
        </w:numPr>
        <w:jc w:val="both"/>
        <w:rPr>
          <w:b/>
          <w:sz w:val="18"/>
        </w:rPr>
      </w:pPr>
      <w:r w:rsidRPr="00160F8F">
        <w:rPr>
          <w:b/>
          <w:sz w:val="18"/>
        </w:rPr>
        <w:t>Ryzyka do uwzględnienia przy wycenie przedmiotu zamówienia</w:t>
      </w:r>
    </w:p>
    <w:p w14:paraId="75E04280" w14:textId="5F05C223" w:rsidR="004B63A6" w:rsidRPr="00160F8F" w:rsidRDefault="004B63A6" w:rsidP="004B63A6">
      <w:pPr>
        <w:pStyle w:val="Akapitzlist"/>
        <w:jc w:val="both"/>
        <w:rPr>
          <w:sz w:val="18"/>
        </w:rPr>
      </w:pPr>
      <w:proofErr w:type="gramStart"/>
      <w:r w:rsidRPr="00160F8F">
        <w:rPr>
          <w:sz w:val="18"/>
        </w:rPr>
        <w:t>Ryzyka jakie</w:t>
      </w:r>
      <w:proofErr w:type="gramEnd"/>
      <w:r w:rsidRPr="00160F8F">
        <w:rPr>
          <w:sz w:val="18"/>
        </w:rPr>
        <w:t xml:space="preserve"> powinien uwzględnić Wykonawca przy wycenie przedmiotu zamówienia:</w:t>
      </w:r>
    </w:p>
    <w:p w14:paraId="376427F4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ograniczony</w:t>
      </w:r>
      <w:proofErr w:type="gramEnd"/>
      <w:r w:rsidRPr="00160F8F">
        <w:rPr>
          <w:sz w:val="18"/>
        </w:rPr>
        <w:t xml:space="preserve"> okres wykonania,</w:t>
      </w:r>
    </w:p>
    <w:p w14:paraId="185D946F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długi</w:t>
      </w:r>
      <w:proofErr w:type="gramEnd"/>
      <w:r w:rsidRPr="00160F8F">
        <w:rPr>
          <w:sz w:val="18"/>
        </w:rPr>
        <w:t xml:space="preserve"> czas pozyskiwania uzgodnień,</w:t>
      </w:r>
    </w:p>
    <w:p w14:paraId="5914232A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ewentualne</w:t>
      </w:r>
      <w:proofErr w:type="gramEnd"/>
      <w:r w:rsidRPr="00160F8F">
        <w:rPr>
          <w:sz w:val="18"/>
        </w:rPr>
        <w:t xml:space="preserve"> zmiany, które mogą wystąpić w przepisach lub wystąpiły, a nie są uwzględnione w obecnie użytkowanym obiekcie i muszą być spełnione w wyniku sporządzenia dokumentacji projektowej dla realizowanego przedmiotu zamówienia,</w:t>
      </w:r>
    </w:p>
    <w:p w14:paraId="36FDDC2A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r w:rsidRPr="00160F8F">
        <w:rPr>
          <w:sz w:val="18"/>
        </w:rPr>
        <w:t>Zamawiający zastrzega sobie możliwość wskazywania uwag lub błędów i żądania ich poprawienia w dokumentacji niezależnie od etapu ukończenia opracowywania dokumentacji,</w:t>
      </w:r>
    </w:p>
    <w:p w14:paraId="04CDC2EE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wykonanie</w:t>
      </w:r>
      <w:proofErr w:type="gramEnd"/>
      <w:r w:rsidRPr="00160F8F">
        <w:rPr>
          <w:sz w:val="18"/>
        </w:rPr>
        <w:t xml:space="preserve"> wszystkich czynności związanych z wykonaniem przedmiotu zamówienia należy do obowiązków Wykonawcy, które Wykonawca wykona na własny koszt i własnym staraniem,</w:t>
      </w:r>
    </w:p>
    <w:p w14:paraId="64BBE2E0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wykonanie</w:t>
      </w:r>
      <w:proofErr w:type="gramEnd"/>
      <w:r w:rsidRPr="00160F8F">
        <w:rPr>
          <w:sz w:val="18"/>
        </w:rPr>
        <w:t xml:space="preserve"> ewentualnych odkrywek konstrukcji w celu wykonania inwentaryzacji i doprowadzenie miejsc odkrywek do stanu pierwotnego</w:t>
      </w:r>
    </w:p>
    <w:p w14:paraId="16FB90FB" w14:textId="77777777" w:rsidR="004B63A6" w:rsidRPr="00160F8F" w:rsidRDefault="004B63A6" w:rsidP="004B63A6">
      <w:pPr>
        <w:pStyle w:val="Akapitzlist"/>
        <w:numPr>
          <w:ilvl w:val="0"/>
          <w:numId w:val="28"/>
        </w:numPr>
        <w:jc w:val="both"/>
        <w:rPr>
          <w:sz w:val="18"/>
        </w:rPr>
      </w:pPr>
      <w:proofErr w:type="gramStart"/>
      <w:r w:rsidRPr="00160F8F">
        <w:rPr>
          <w:sz w:val="18"/>
        </w:rPr>
        <w:t>w</w:t>
      </w:r>
      <w:proofErr w:type="gramEnd"/>
      <w:r w:rsidRPr="00160F8F">
        <w:rPr>
          <w:sz w:val="18"/>
        </w:rPr>
        <w:t xml:space="preserve"> razie konieczności uzyskania innych niż wskazane w OPZ uzgodnień, decyzji lub dokumentów Wykonawca zobowiązany jest do ich pozyskania na własny koszt i własnym staraniem.</w:t>
      </w:r>
    </w:p>
    <w:p w14:paraId="366AF02F" w14:textId="77777777" w:rsidR="004B63A6" w:rsidRPr="00160F8F" w:rsidRDefault="004B63A6" w:rsidP="004B63A6">
      <w:pPr>
        <w:pStyle w:val="Akapitzlist"/>
        <w:jc w:val="both"/>
        <w:rPr>
          <w:sz w:val="18"/>
        </w:rPr>
      </w:pPr>
    </w:p>
    <w:p w14:paraId="6A9E3460" w14:textId="77777777" w:rsidR="00884BB3" w:rsidRPr="00160F8F" w:rsidRDefault="00884BB3" w:rsidP="00884BB3">
      <w:pPr>
        <w:pStyle w:val="Akapitzlist"/>
        <w:ind w:left="1080"/>
        <w:jc w:val="both"/>
        <w:rPr>
          <w:sz w:val="18"/>
        </w:rPr>
      </w:pPr>
    </w:p>
    <w:p w14:paraId="24299B06" w14:textId="77777777" w:rsidR="00C117DA" w:rsidRPr="00160F8F" w:rsidRDefault="00C117DA" w:rsidP="00C117DA">
      <w:pPr>
        <w:pStyle w:val="Akapitzlist"/>
        <w:jc w:val="both"/>
        <w:rPr>
          <w:sz w:val="18"/>
        </w:rPr>
      </w:pPr>
    </w:p>
    <w:p w14:paraId="008CFA1E" w14:textId="77777777" w:rsidR="00C117DA" w:rsidRPr="00160F8F" w:rsidRDefault="00C117DA" w:rsidP="00C117DA">
      <w:pPr>
        <w:pStyle w:val="Akapitzlist"/>
        <w:jc w:val="both"/>
        <w:rPr>
          <w:sz w:val="18"/>
        </w:rPr>
      </w:pPr>
    </w:p>
    <w:p w14:paraId="45C8A158" w14:textId="6359A975" w:rsidR="006A36DF" w:rsidRPr="00160F8F" w:rsidRDefault="006A36DF" w:rsidP="006A36DF">
      <w:pPr>
        <w:pStyle w:val="Akapitzlist"/>
        <w:ind w:left="1080"/>
        <w:jc w:val="both"/>
        <w:rPr>
          <w:sz w:val="18"/>
        </w:rPr>
      </w:pPr>
    </w:p>
    <w:p w14:paraId="23D39627" w14:textId="77777777" w:rsidR="006D6F1C" w:rsidRDefault="006D6F1C" w:rsidP="006D6F1C">
      <w:pPr>
        <w:pStyle w:val="Akapitzlist"/>
        <w:ind w:left="1080"/>
        <w:jc w:val="both"/>
        <w:rPr>
          <w:sz w:val="18"/>
        </w:rPr>
      </w:pPr>
    </w:p>
    <w:p w14:paraId="2E669DC7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31BFB9DB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2349C2E1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5FC5EDAE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73C120A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668CDDB3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5221496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77CA24C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136B155A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0E1EEC13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5353483A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3D06C32B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77A2A41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34B3CD17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38BCA61C" w14:textId="77777777" w:rsidR="00712C5D" w:rsidRDefault="00712C5D" w:rsidP="006D6F1C">
      <w:pPr>
        <w:pStyle w:val="Akapitzlist"/>
        <w:ind w:left="1080"/>
        <w:jc w:val="both"/>
        <w:rPr>
          <w:sz w:val="18"/>
        </w:rPr>
        <w:sectPr w:rsidR="00712C5D" w:rsidSect="00712C5D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F92345B" w14:textId="77777777" w:rsidR="00712C5D" w:rsidRPr="004722E6" w:rsidRDefault="00712C5D" w:rsidP="00712C5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A – Wykaz działek obszaru oraz oddziaływania w ramach „M</w:t>
      </w:r>
      <w:r w:rsidRPr="00350BBC">
        <w:rPr>
          <w:rFonts w:ascii="Arial" w:hAnsi="Arial" w:cs="Arial"/>
        </w:rPr>
        <w:t>odernizacj</w:t>
      </w:r>
      <w:r>
        <w:rPr>
          <w:rFonts w:ascii="Arial" w:hAnsi="Arial" w:cs="Arial"/>
        </w:rPr>
        <w:t>i</w:t>
      </w:r>
      <w:r w:rsidRPr="00350BBC">
        <w:rPr>
          <w:rFonts w:ascii="Arial" w:hAnsi="Arial" w:cs="Arial"/>
        </w:rPr>
        <w:t xml:space="preserve"> peronu SKM na stacji Gdynia Orłowo</w:t>
      </w:r>
      <w:r>
        <w:rPr>
          <w:rFonts w:ascii="Arial" w:hAnsi="Arial" w:cs="Arial"/>
        </w:rPr>
        <w:t>”</w:t>
      </w:r>
    </w:p>
    <w:p w14:paraId="56EF6D69" w14:textId="77777777" w:rsidR="00712C5D" w:rsidRDefault="00712C5D" w:rsidP="00712C5D">
      <w:pPr>
        <w:rPr>
          <w:rFonts w:ascii="Arial" w:hAnsi="Arial" w:cs="Arial"/>
          <w:sz w:val="20"/>
        </w:rPr>
      </w:pPr>
    </w:p>
    <w:p w14:paraId="3A4533C8" w14:textId="77777777" w:rsidR="00712C5D" w:rsidRDefault="00712C5D" w:rsidP="00712C5D">
      <w:pPr>
        <w:rPr>
          <w:rFonts w:ascii="Arial" w:hAnsi="Arial" w:cs="Arial"/>
          <w:sz w:val="20"/>
        </w:rPr>
      </w:pPr>
      <w:r w:rsidRPr="00CC5C3C">
        <w:rPr>
          <w:rFonts w:ascii="Arial" w:hAnsi="Arial" w:cs="Arial"/>
          <w:sz w:val="20"/>
        </w:rPr>
        <w:t>Obszar inwestycji opisany w Karcie Informacyjnej Przedsięwzięcia, stanowi podstawę wydanej dla Projektu pn.: „</w:t>
      </w:r>
      <w:r w:rsidRPr="00CC5C3C">
        <w:rPr>
          <w:rFonts w:ascii="Arial" w:hAnsi="Arial" w:cs="Arial"/>
          <w:i/>
          <w:color w:val="000000"/>
          <w:sz w:val="2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Pr="00CC5C3C">
        <w:rPr>
          <w:rFonts w:ascii="Arial" w:hAnsi="Arial" w:cs="Arial"/>
          <w:color w:val="000000"/>
          <w:sz w:val="20"/>
        </w:rPr>
        <w:t>”</w:t>
      </w:r>
      <w:r w:rsidRPr="00CC5C3C">
        <w:rPr>
          <w:rFonts w:ascii="Arial" w:hAnsi="Arial" w:cs="Arial"/>
          <w:sz w:val="20"/>
        </w:rPr>
        <w:t xml:space="preserve"> decyzji nr RDOS-Gd-WOO.4210.34.2016.KLP.4 </w:t>
      </w:r>
      <w:proofErr w:type="gramStart"/>
      <w:r w:rsidRPr="00CC5C3C">
        <w:rPr>
          <w:rFonts w:ascii="Arial" w:hAnsi="Arial" w:cs="Arial"/>
          <w:sz w:val="20"/>
        </w:rPr>
        <w:t>z</w:t>
      </w:r>
      <w:proofErr w:type="gramEnd"/>
      <w:r w:rsidRPr="00CC5C3C">
        <w:rPr>
          <w:rFonts w:ascii="Arial" w:hAnsi="Arial" w:cs="Arial"/>
          <w:sz w:val="20"/>
        </w:rPr>
        <w:t xml:space="preserve"> dnia 30 listopada 2016r. o umorzeniu, jako bezprzedmiotowe postępowania w sprawie wydania decyzji o środowiskowych uwarunkowaniach dla przedsięwzięcia.  W ramach modernizacji peronu SKM na stacji Gdynia Orłowo objęte są tereny zlokalizowane na niżej wymienionych działkach:</w:t>
      </w:r>
    </w:p>
    <w:p w14:paraId="0BE042F2" w14:textId="77777777" w:rsidR="00712C5D" w:rsidRPr="00CC5C3C" w:rsidRDefault="00712C5D" w:rsidP="00712C5D">
      <w:pPr>
        <w:rPr>
          <w:rFonts w:ascii="Arial" w:hAnsi="Arial" w:cs="Arial"/>
          <w:sz w:val="20"/>
        </w:rPr>
      </w:pPr>
    </w:p>
    <w:tbl>
      <w:tblPr>
        <w:tblW w:w="128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30"/>
        <w:gridCol w:w="2624"/>
        <w:gridCol w:w="2589"/>
      </w:tblGrid>
      <w:tr w:rsidR="00712C5D" w:rsidRPr="00770144" w14:paraId="716058F0" w14:textId="77777777" w:rsidTr="00D5327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F5BD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</w:p>
          <w:p w14:paraId="6304137F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Gdynia Orłowo (peron nr 1 SKM)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E60D" w14:textId="77777777" w:rsidR="00712C5D" w:rsidRPr="00CC5C3C" w:rsidRDefault="00712C5D" w:rsidP="00D53271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  <w:p w14:paraId="22C23E51" w14:textId="77777777" w:rsidR="00712C5D" w:rsidRPr="00CC5C3C" w:rsidRDefault="00712C5D" w:rsidP="00D53271">
            <w:pPr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Projekt zakłada modernizację przystanku z korektą jego szerokości (zwężenie peronu w celu poprawienia widoczności na peronie dla drużyn pociągowych).   Dodatkowo w ramach prac planowane jest m.in.:</w:t>
            </w:r>
          </w:p>
          <w:p w14:paraId="10DD68BE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nowej wiaty na peronie, </w:t>
            </w:r>
          </w:p>
          <w:p w14:paraId="19080729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dźwigu osobowego,</w:t>
            </w:r>
          </w:p>
          <w:p w14:paraId="640763F8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przebudowa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schodów na peron od strony Centrum Handlowego Klif,</w:t>
            </w:r>
          </w:p>
          <w:p w14:paraId="0A930427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rozbiórka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istniejącego zadaszenia schodów na peron od strony Centrum Handlowego Klif,</w:t>
            </w:r>
          </w:p>
          <w:p w14:paraId="45130497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przebudowa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przejścia podziemnego prowadzącego na peron,</w:t>
            </w:r>
          </w:p>
          <w:p w14:paraId="05A3E615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przebudowa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toru nr 501 w obrębie przystanku wynikająca z korekty peronu (zawężenia),</w:t>
            </w:r>
          </w:p>
          <w:p w14:paraId="7BBE6334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wbudowanie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rozjazdów pomiędzy torem 501 i 502 (</w:t>
            </w:r>
            <w:proofErr w:type="spell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półtrapez</w:t>
            </w:r>
            <w:proofErr w:type="spell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),</w:t>
            </w:r>
          </w:p>
          <w:p w14:paraId="51F0CF34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wymiana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czterech istniejących rozjazdów,</w:t>
            </w:r>
          </w:p>
          <w:p w14:paraId="1E49EDE9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modernizacja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nawierzchni torowej,</w:t>
            </w:r>
          </w:p>
          <w:p w14:paraId="1538CC54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przebudowa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w niezbędnym zakresie istniejącej sieci trakcyjnej i jej konstrukcji wsporczych,</w:t>
            </w:r>
          </w:p>
          <w:p w14:paraId="3F036D56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przebudowa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w niezbędnym zakresie istniejącej infrastruktury technicznej, </w:t>
            </w:r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br/>
              <w:t xml:space="preserve">w tym sieci elektroenergetycznej, teletechnicznej, </w:t>
            </w:r>
            <w:proofErr w:type="spell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srk</w:t>
            </w:r>
            <w:proofErr w:type="spell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, </w:t>
            </w:r>
            <w:proofErr w:type="spell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wod-kan</w:t>
            </w:r>
            <w:proofErr w:type="spell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, </w:t>
            </w:r>
          </w:p>
          <w:p w14:paraId="01864647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modernizacja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peronu,</w:t>
            </w:r>
          </w:p>
          <w:p w14:paraId="1742B097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wykonanie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elementów małej architektury,</w:t>
            </w:r>
          </w:p>
          <w:p w14:paraId="747D5D6E" w14:textId="77777777" w:rsidR="00712C5D" w:rsidRPr="00CC5C3C" w:rsidRDefault="00712C5D" w:rsidP="00712C5D">
            <w:pPr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color w:val="000000"/>
                <w:sz w:val="16"/>
                <w:szCs w:val="18"/>
              </w:rPr>
            </w:pPr>
            <w:proofErr w:type="gramStart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>montaż</w:t>
            </w:r>
            <w:proofErr w:type="gramEnd"/>
            <w:r w:rsidRPr="00CC5C3C">
              <w:rPr>
                <w:rFonts w:ascii="Arial" w:hAnsi="Arial" w:cs="Arial"/>
                <w:color w:val="000000"/>
                <w:sz w:val="16"/>
                <w:szCs w:val="18"/>
              </w:rPr>
              <w:t xml:space="preserve"> urządzeń systemów informacji pasażerskiej i monitoringu.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2BB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</w:p>
          <w:p w14:paraId="3BEAC23F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b/>
                <w:sz w:val="16"/>
                <w:szCs w:val="18"/>
              </w:rPr>
            </w:pPr>
            <w:r w:rsidRPr="00CC5C3C">
              <w:rPr>
                <w:rFonts w:ascii="Arial" w:hAnsi="Arial" w:cs="Arial"/>
                <w:b/>
                <w:sz w:val="16"/>
                <w:szCs w:val="18"/>
              </w:rPr>
              <w:t>Obszar Projektu</w:t>
            </w:r>
          </w:p>
          <w:p w14:paraId="382ABB36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Obręb Gdynia 0022 ORŁOWO</w:t>
            </w:r>
          </w:p>
          <w:p w14:paraId="5A5CD5AA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Nr działek ewidencyjnych:</w:t>
            </w:r>
          </w:p>
          <w:p w14:paraId="367DCCCD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1564, 1573, 1105/1, 1105/2, 1105/3, 1715, 1716, 1717, 1869, 1103/1, 1103/2, 1714, 3255, 3268, 3264, 3263, 3260, 3253, 3256, 3258, 3254, 3259, 3265, 3267</w:t>
            </w:r>
          </w:p>
          <w:p w14:paraId="1326997C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E8B0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</w:p>
          <w:p w14:paraId="4B1D7C15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b/>
                <w:sz w:val="16"/>
                <w:szCs w:val="18"/>
              </w:rPr>
            </w:pPr>
            <w:r w:rsidRPr="00CC5C3C">
              <w:rPr>
                <w:rFonts w:ascii="Arial" w:hAnsi="Arial" w:cs="Arial"/>
                <w:b/>
                <w:sz w:val="16"/>
                <w:szCs w:val="18"/>
              </w:rPr>
              <w:t>Obszar oddziaływania</w:t>
            </w:r>
          </w:p>
          <w:p w14:paraId="452E0ACB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Obręb Gdynia 0022 ORŁOWO</w:t>
            </w:r>
          </w:p>
          <w:p w14:paraId="1260ED6F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Nr działek ewidencyjnych:</w:t>
            </w:r>
          </w:p>
          <w:p w14:paraId="2B816D14" w14:textId="77777777" w:rsidR="00712C5D" w:rsidRPr="00CC5C3C" w:rsidRDefault="00712C5D" w:rsidP="00D53271">
            <w:pPr>
              <w:ind w:right="281"/>
              <w:rPr>
                <w:rFonts w:ascii="Arial" w:hAnsi="Arial" w:cs="Arial"/>
                <w:sz w:val="16"/>
                <w:szCs w:val="18"/>
              </w:rPr>
            </w:pPr>
            <w:r w:rsidRPr="00CC5C3C">
              <w:rPr>
                <w:rFonts w:ascii="Arial" w:hAnsi="Arial" w:cs="Arial"/>
                <w:sz w:val="16"/>
                <w:szCs w:val="18"/>
              </w:rPr>
              <w:t>1370, 1373, 1364/2, 1363, 1101, 1872, 1747, 1720, 1719, 1742, 1713, 1712, 1709, 1701, 1699, 1697, 1695, 1696, 1692, 1608, 1591, 1597, 1592, 1586, 1582, 1578, 1574, 1567, 1565, 1556, 1746, 1104, 3225, 3240, 3246, 3261, 3262, 3279, 3278, 3277, 3274, 3275, 3276, 3273, 3270, 3272, 3271, 3269, 3257, 3251, 3266, 3252, 3227, 3327, 3383, 3391</w:t>
            </w:r>
          </w:p>
          <w:p w14:paraId="1F42631F" w14:textId="77777777" w:rsidR="00712C5D" w:rsidRPr="00CC5C3C" w:rsidRDefault="00712C5D" w:rsidP="00D53271">
            <w:pPr>
              <w:ind w:right="-35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14:paraId="50E16158" w14:textId="77777777" w:rsidR="00712C5D" w:rsidRPr="00CC5C3C" w:rsidRDefault="00712C5D" w:rsidP="00D53271">
            <w:pPr>
              <w:ind w:right="-35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840E594" w14:textId="77777777" w:rsidR="00712C5D" w:rsidRPr="0018343F" w:rsidRDefault="00712C5D" w:rsidP="00712C5D">
      <w:pPr>
        <w:ind w:right="1244"/>
        <w:jc w:val="both"/>
        <w:rPr>
          <w:rFonts w:ascii="Arial" w:hAnsi="Arial" w:cs="Arial"/>
        </w:rPr>
      </w:pPr>
    </w:p>
    <w:p w14:paraId="2CD63A3E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31851DA3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5ACECA22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A2D64F9" w14:textId="77777777" w:rsidR="00712C5D" w:rsidRDefault="00712C5D" w:rsidP="006D6F1C">
      <w:pPr>
        <w:pStyle w:val="Akapitzlist"/>
        <w:ind w:left="1080"/>
        <w:jc w:val="both"/>
        <w:rPr>
          <w:sz w:val="18"/>
        </w:rPr>
      </w:pPr>
    </w:p>
    <w:p w14:paraId="4A879081" w14:textId="77777777" w:rsidR="00712C5D" w:rsidRPr="00160F8F" w:rsidRDefault="00712C5D" w:rsidP="006D6F1C">
      <w:pPr>
        <w:pStyle w:val="Akapitzlist"/>
        <w:ind w:left="1080"/>
        <w:jc w:val="both"/>
        <w:rPr>
          <w:sz w:val="18"/>
        </w:rPr>
      </w:pPr>
    </w:p>
    <w:sectPr w:rsidR="00712C5D" w:rsidRPr="00160F8F" w:rsidSect="00712C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1237F" w14:textId="77777777" w:rsidR="00A97B4F" w:rsidRDefault="00A97B4F" w:rsidP="00D75F5D">
      <w:pPr>
        <w:spacing w:after="0" w:line="240" w:lineRule="auto"/>
      </w:pPr>
      <w:r>
        <w:separator/>
      </w:r>
    </w:p>
  </w:endnote>
  <w:endnote w:type="continuationSeparator" w:id="0">
    <w:p w14:paraId="3D13F152" w14:textId="77777777" w:rsidR="00A97B4F" w:rsidRDefault="00A97B4F" w:rsidP="00D7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102925"/>
      <w:docPartObj>
        <w:docPartGallery w:val="Page Numbers (Bottom of Page)"/>
        <w:docPartUnique/>
      </w:docPartObj>
    </w:sdtPr>
    <w:sdtEndPr/>
    <w:sdtContent>
      <w:p w14:paraId="05FA7E30" w14:textId="0800242B" w:rsidR="00BA7937" w:rsidRDefault="00BA79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B50">
          <w:rPr>
            <w:noProof/>
          </w:rPr>
          <w:t>11</w:t>
        </w:r>
        <w:r>
          <w:fldChar w:fldCharType="end"/>
        </w:r>
      </w:p>
    </w:sdtContent>
  </w:sdt>
  <w:p w14:paraId="5983C4FD" w14:textId="77777777" w:rsidR="00BA7937" w:rsidRDefault="00BA79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04C63" w14:textId="77777777" w:rsidR="00A97B4F" w:rsidRDefault="00A97B4F" w:rsidP="00D75F5D">
      <w:pPr>
        <w:spacing w:after="0" w:line="240" w:lineRule="auto"/>
      </w:pPr>
      <w:r>
        <w:separator/>
      </w:r>
    </w:p>
  </w:footnote>
  <w:footnote w:type="continuationSeparator" w:id="0">
    <w:p w14:paraId="7C541D24" w14:textId="77777777" w:rsidR="00A97B4F" w:rsidRDefault="00A97B4F" w:rsidP="00D75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AE732" w14:textId="66B456DA" w:rsidR="00BA7937" w:rsidRDefault="00BA7937">
    <w:pPr>
      <w:pStyle w:val="Nagwek"/>
    </w:pPr>
    <w:r>
      <w:rPr>
        <w:noProof/>
        <w:lang w:eastAsia="pl-PL"/>
      </w:rPr>
      <w:drawing>
        <wp:inline distT="0" distB="0" distL="0" distR="0" wp14:anchorId="43783676" wp14:editId="1EB59FF8">
          <wp:extent cx="5760720" cy="450850"/>
          <wp:effectExtent l="0" t="0" r="0" b="635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C33535" w14:textId="77777777" w:rsidR="00BA7937" w:rsidRDefault="00BA79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EAD"/>
    <w:multiLevelType w:val="hybridMultilevel"/>
    <w:tmpl w:val="5B900E5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1107614"/>
    <w:multiLevelType w:val="multilevel"/>
    <w:tmpl w:val="7E261632"/>
    <w:lvl w:ilvl="0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687BDD"/>
    <w:multiLevelType w:val="hybridMultilevel"/>
    <w:tmpl w:val="57502376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07805FED"/>
    <w:multiLevelType w:val="hybridMultilevel"/>
    <w:tmpl w:val="7DDCC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0A117C"/>
    <w:multiLevelType w:val="hybridMultilevel"/>
    <w:tmpl w:val="E99208EC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097E54F5"/>
    <w:multiLevelType w:val="hybridMultilevel"/>
    <w:tmpl w:val="F6AE24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C608FA"/>
    <w:multiLevelType w:val="hybridMultilevel"/>
    <w:tmpl w:val="DD1C1FF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0C9B4103"/>
    <w:multiLevelType w:val="hybridMultilevel"/>
    <w:tmpl w:val="CAB631F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D65E16"/>
    <w:multiLevelType w:val="hybridMultilevel"/>
    <w:tmpl w:val="80ACEA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C0820B1"/>
    <w:multiLevelType w:val="hybridMultilevel"/>
    <w:tmpl w:val="8A1E0428"/>
    <w:lvl w:ilvl="0" w:tplc="153E3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428C8"/>
    <w:multiLevelType w:val="multilevel"/>
    <w:tmpl w:val="0C9AABD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20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80"/>
        </w:tabs>
        <w:ind w:left="149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8DD62AF"/>
    <w:multiLevelType w:val="multilevel"/>
    <w:tmpl w:val="CCE4E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AF356F7"/>
    <w:multiLevelType w:val="hybridMultilevel"/>
    <w:tmpl w:val="E730B844"/>
    <w:lvl w:ilvl="0" w:tplc="0A52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unga" w:hint="default"/>
        <w:b/>
      </w:rPr>
    </w:lvl>
    <w:lvl w:ilvl="1" w:tplc="89AE641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0874C5"/>
    <w:multiLevelType w:val="hybridMultilevel"/>
    <w:tmpl w:val="0ADA8FD4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310C5771"/>
    <w:multiLevelType w:val="hybridMultilevel"/>
    <w:tmpl w:val="C6E4B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81AB7"/>
    <w:multiLevelType w:val="hybridMultilevel"/>
    <w:tmpl w:val="38F6930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61507F1"/>
    <w:multiLevelType w:val="hybridMultilevel"/>
    <w:tmpl w:val="91F4E1A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E3A0AF5"/>
    <w:multiLevelType w:val="hybridMultilevel"/>
    <w:tmpl w:val="0C767682"/>
    <w:lvl w:ilvl="0" w:tplc="04150001">
      <w:start w:val="1"/>
      <w:numFmt w:val="bullet"/>
      <w:lvlText w:val="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8" w15:restartNumberingAfterBreak="0">
    <w:nsid w:val="3F705F15"/>
    <w:multiLevelType w:val="hybridMultilevel"/>
    <w:tmpl w:val="E8EA060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04B4F9D"/>
    <w:multiLevelType w:val="hybridMultilevel"/>
    <w:tmpl w:val="84CC1D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234BEB"/>
    <w:multiLevelType w:val="multilevel"/>
    <w:tmpl w:val="9B940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46C66461"/>
    <w:multiLevelType w:val="hybridMultilevel"/>
    <w:tmpl w:val="02864B3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89E16E5"/>
    <w:multiLevelType w:val="hybridMultilevel"/>
    <w:tmpl w:val="08C27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5C331B"/>
    <w:multiLevelType w:val="hybridMultilevel"/>
    <w:tmpl w:val="BCD0E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55BE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2B22DBB"/>
    <w:multiLevelType w:val="hybridMultilevel"/>
    <w:tmpl w:val="1F4E5D2E"/>
    <w:lvl w:ilvl="0" w:tplc="B5249D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F17AB2"/>
    <w:multiLevelType w:val="hybridMultilevel"/>
    <w:tmpl w:val="B48AAE42"/>
    <w:lvl w:ilvl="0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F5C191D"/>
    <w:multiLevelType w:val="hybridMultilevel"/>
    <w:tmpl w:val="5D367CA8"/>
    <w:lvl w:ilvl="0" w:tplc="B5249D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3A3FCB"/>
    <w:multiLevelType w:val="hybridMultilevel"/>
    <w:tmpl w:val="FBC8F1AE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7B60B66"/>
    <w:multiLevelType w:val="hybridMultilevel"/>
    <w:tmpl w:val="D960D71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93E3924"/>
    <w:multiLevelType w:val="hybridMultilevel"/>
    <w:tmpl w:val="9E48B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96059B1"/>
    <w:multiLevelType w:val="hybridMultilevel"/>
    <w:tmpl w:val="4DD2DC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86874EC"/>
    <w:multiLevelType w:val="hybridMultilevel"/>
    <w:tmpl w:val="C34EFD2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91036E7"/>
    <w:multiLevelType w:val="hybridMultilevel"/>
    <w:tmpl w:val="D15C6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DD75EC"/>
    <w:multiLevelType w:val="hybridMultilevel"/>
    <w:tmpl w:val="5F8851B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C90727D"/>
    <w:multiLevelType w:val="hybridMultilevel"/>
    <w:tmpl w:val="F39680BE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 w15:restartNumberingAfterBreak="0">
    <w:nsid w:val="7DF20976"/>
    <w:multiLevelType w:val="hybridMultilevel"/>
    <w:tmpl w:val="6E2C0A7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7EA42DCE"/>
    <w:multiLevelType w:val="hybridMultilevel"/>
    <w:tmpl w:val="6772F62A"/>
    <w:lvl w:ilvl="0" w:tplc="3C24816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2"/>
  </w:num>
  <w:num w:numId="3">
    <w:abstractNumId w:val="37"/>
  </w:num>
  <w:num w:numId="4">
    <w:abstractNumId w:val="30"/>
  </w:num>
  <w:num w:numId="5">
    <w:abstractNumId w:val="17"/>
  </w:num>
  <w:num w:numId="6">
    <w:abstractNumId w:val="36"/>
  </w:num>
  <w:num w:numId="7">
    <w:abstractNumId w:val="15"/>
  </w:num>
  <w:num w:numId="8">
    <w:abstractNumId w:val="32"/>
  </w:num>
  <w:num w:numId="9">
    <w:abstractNumId w:val="21"/>
  </w:num>
  <w:num w:numId="10">
    <w:abstractNumId w:val="29"/>
  </w:num>
  <w:num w:numId="11">
    <w:abstractNumId w:val="4"/>
  </w:num>
  <w:num w:numId="12">
    <w:abstractNumId w:val="16"/>
  </w:num>
  <w:num w:numId="13">
    <w:abstractNumId w:val="7"/>
  </w:num>
  <w:num w:numId="14">
    <w:abstractNumId w:val="34"/>
  </w:num>
  <w:num w:numId="15">
    <w:abstractNumId w:val="13"/>
  </w:num>
  <w:num w:numId="16">
    <w:abstractNumId w:val="26"/>
  </w:num>
  <w:num w:numId="17">
    <w:abstractNumId w:val="23"/>
  </w:num>
  <w:num w:numId="18">
    <w:abstractNumId w:val="35"/>
  </w:num>
  <w:num w:numId="19">
    <w:abstractNumId w:val="2"/>
  </w:num>
  <w:num w:numId="20">
    <w:abstractNumId w:val="14"/>
  </w:num>
  <w:num w:numId="21">
    <w:abstractNumId w:val="0"/>
  </w:num>
  <w:num w:numId="22">
    <w:abstractNumId w:val="8"/>
  </w:num>
  <w:num w:numId="23">
    <w:abstractNumId w:val="10"/>
  </w:num>
  <w:num w:numId="24">
    <w:abstractNumId w:val="1"/>
  </w:num>
  <w:num w:numId="25">
    <w:abstractNumId w:val="31"/>
  </w:num>
  <w:num w:numId="26">
    <w:abstractNumId w:val="3"/>
  </w:num>
  <w:num w:numId="27">
    <w:abstractNumId w:val="12"/>
  </w:num>
  <w:num w:numId="28">
    <w:abstractNumId w:val="19"/>
  </w:num>
  <w:num w:numId="29">
    <w:abstractNumId w:val="27"/>
  </w:num>
  <w:num w:numId="30">
    <w:abstractNumId w:val="25"/>
  </w:num>
  <w:num w:numId="31">
    <w:abstractNumId w:val="24"/>
  </w:num>
  <w:num w:numId="32">
    <w:abstractNumId w:val="20"/>
  </w:num>
  <w:num w:numId="33">
    <w:abstractNumId w:val="6"/>
  </w:num>
  <w:num w:numId="34">
    <w:abstractNumId w:val="28"/>
  </w:num>
  <w:num w:numId="35">
    <w:abstractNumId w:val="18"/>
  </w:num>
  <w:num w:numId="36">
    <w:abstractNumId w:val="33"/>
  </w:num>
  <w:num w:numId="37">
    <w:abstractNumId w:val="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7B"/>
    <w:rsid w:val="00050496"/>
    <w:rsid w:val="000C6842"/>
    <w:rsid w:val="00113214"/>
    <w:rsid w:val="0012274F"/>
    <w:rsid w:val="00160F8F"/>
    <w:rsid w:val="001D375B"/>
    <w:rsid w:val="001D5FD3"/>
    <w:rsid w:val="00203C38"/>
    <w:rsid w:val="00215079"/>
    <w:rsid w:val="00276F4D"/>
    <w:rsid w:val="00285045"/>
    <w:rsid w:val="002D4489"/>
    <w:rsid w:val="00347022"/>
    <w:rsid w:val="00355A4B"/>
    <w:rsid w:val="003E1BE5"/>
    <w:rsid w:val="003F7C32"/>
    <w:rsid w:val="00413D35"/>
    <w:rsid w:val="00446E22"/>
    <w:rsid w:val="004475D7"/>
    <w:rsid w:val="004561CC"/>
    <w:rsid w:val="00483EE5"/>
    <w:rsid w:val="004B63A6"/>
    <w:rsid w:val="004D42D0"/>
    <w:rsid w:val="00532DA0"/>
    <w:rsid w:val="005F172D"/>
    <w:rsid w:val="00631C19"/>
    <w:rsid w:val="00632495"/>
    <w:rsid w:val="00662B50"/>
    <w:rsid w:val="006763A9"/>
    <w:rsid w:val="006A36DF"/>
    <w:rsid w:val="006D6F1C"/>
    <w:rsid w:val="007029EF"/>
    <w:rsid w:val="00706329"/>
    <w:rsid w:val="00712C5D"/>
    <w:rsid w:val="00725ED4"/>
    <w:rsid w:val="00742CFB"/>
    <w:rsid w:val="00774CCD"/>
    <w:rsid w:val="007B04BE"/>
    <w:rsid w:val="007B45B7"/>
    <w:rsid w:val="0080287B"/>
    <w:rsid w:val="00822372"/>
    <w:rsid w:val="00884BB3"/>
    <w:rsid w:val="00892E49"/>
    <w:rsid w:val="008A49A9"/>
    <w:rsid w:val="008D6798"/>
    <w:rsid w:val="008F0199"/>
    <w:rsid w:val="0091162C"/>
    <w:rsid w:val="009316DD"/>
    <w:rsid w:val="00963E29"/>
    <w:rsid w:val="009A7951"/>
    <w:rsid w:val="00A008F0"/>
    <w:rsid w:val="00A05866"/>
    <w:rsid w:val="00A5277B"/>
    <w:rsid w:val="00A60278"/>
    <w:rsid w:val="00A97B4F"/>
    <w:rsid w:val="00AD2A1C"/>
    <w:rsid w:val="00AE47A3"/>
    <w:rsid w:val="00AF2082"/>
    <w:rsid w:val="00B04D6B"/>
    <w:rsid w:val="00B12096"/>
    <w:rsid w:val="00B214A0"/>
    <w:rsid w:val="00BA14B8"/>
    <w:rsid w:val="00BA7937"/>
    <w:rsid w:val="00BB50D4"/>
    <w:rsid w:val="00BE2106"/>
    <w:rsid w:val="00C117DA"/>
    <w:rsid w:val="00C4019E"/>
    <w:rsid w:val="00C46847"/>
    <w:rsid w:val="00C80D48"/>
    <w:rsid w:val="00CA1C57"/>
    <w:rsid w:val="00CC718C"/>
    <w:rsid w:val="00CE38E3"/>
    <w:rsid w:val="00D12F27"/>
    <w:rsid w:val="00D34EDB"/>
    <w:rsid w:val="00D54867"/>
    <w:rsid w:val="00D75F5D"/>
    <w:rsid w:val="00D875BF"/>
    <w:rsid w:val="00DE48AD"/>
    <w:rsid w:val="00E53CFD"/>
    <w:rsid w:val="00E53D46"/>
    <w:rsid w:val="00E87B4F"/>
    <w:rsid w:val="00EB608F"/>
    <w:rsid w:val="00EC12D8"/>
    <w:rsid w:val="00ED1229"/>
    <w:rsid w:val="00EE7288"/>
    <w:rsid w:val="00F17A19"/>
    <w:rsid w:val="00F57C95"/>
    <w:rsid w:val="00F9426D"/>
    <w:rsid w:val="00F94B52"/>
    <w:rsid w:val="00FA5508"/>
    <w:rsid w:val="00FD0B05"/>
    <w:rsid w:val="00FD5DC1"/>
    <w:rsid w:val="00FD716C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D0D7"/>
  <w15:chartTrackingRefBased/>
  <w15:docId w15:val="{AC33CA33-9509-4E68-B2A8-5EAA999E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8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7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7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7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7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7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95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5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5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5F5D"/>
    <w:rPr>
      <w:vertAlign w:val="superscript"/>
    </w:rPr>
  </w:style>
  <w:style w:type="table" w:styleId="Tabela-Siatka">
    <w:name w:val="Table Grid"/>
    <w:basedOn w:val="Standardowy"/>
    <w:uiPriority w:val="39"/>
    <w:rsid w:val="00DE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6A36DF"/>
    <w:pPr>
      <w:spacing w:after="0" w:line="324" w:lineRule="auto"/>
      <w:ind w:left="708"/>
      <w:jc w:val="both"/>
    </w:pPr>
    <w:rPr>
      <w:rFonts w:ascii="Arial" w:eastAsia="Times New Roman" w:hAnsi="Arial" w:cs="Arial"/>
      <w:lang w:eastAsia="en-GB"/>
    </w:rPr>
  </w:style>
  <w:style w:type="character" w:customStyle="1" w:styleId="FSMWChar1">
    <w:name w:val="FS MW Char1"/>
    <w:link w:val="FSMW"/>
    <w:qFormat/>
    <w:locked/>
    <w:rsid w:val="00C117DA"/>
    <w:rPr>
      <w:rFonts w:ascii="Arial" w:hAnsi="Arial"/>
      <w:lang w:eastAsia="ar-SA"/>
    </w:rPr>
  </w:style>
  <w:style w:type="paragraph" w:customStyle="1" w:styleId="FSMW">
    <w:name w:val="FS MW"/>
    <w:basedOn w:val="Normalny"/>
    <w:link w:val="FSMWChar1"/>
    <w:qFormat/>
    <w:rsid w:val="00C117DA"/>
    <w:pPr>
      <w:spacing w:after="0" w:line="324" w:lineRule="auto"/>
      <w:ind w:left="993"/>
      <w:jc w:val="both"/>
    </w:pPr>
    <w:rPr>
      <w:rFonts w:ascii="Arial" w:hAnsi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937"/>
  </w:style>
  <w:style w:type="paragraph" w:styleId="Stopka">
    <w:name w:val="footer"/>
    <w:basedOn w:val="Normalny"/>
    <w:link w:val="StopkaZnak"/>
    <w:uiPriority w:val="99"/>
    <w:unhideWhenUsed/>
    <w:rsid w:val="00BA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5335</Words>
  <Characters>32014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Semak</dc:creator>
  <cp:keywords/>
  <dc:description/>
  <cp:lastModifiedBy>Katarzyna Komakowska-Helińska</cp:lastModifiedBy>
  <cp:revision>4</cp:revision>
  <cp:lastPrinted>2018-10-16T10:50:00Z</cp:lastPrinted>
  <dcterms:created xsi:type="dcterms:W3CDTF">2018-10-16T09:30:00Z</dcterms:created>
  <dcterms:modified xsi:type="dcterms:W3CDTF">2018-10-18T08:45:00Z</dcterms:modified>
</cp:coreProperties>
</file>